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713633"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7A60C181" wp14:editId="6CEC7AF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A55825" w:rsidP="00AC4A99">
            <w:pPr>
              <w:jc w:val="center"/>
              <w:rPr>
                <w:b/>
                <w:szCs w:val="22"/>
              </w:rPr>
            </w:pPr>
            <w:r>
              <w:rPr>
                <w:b/>
                <w:szCs w:val="22"/>
              </w:rPr>
              <w:t>General Licensing Committee</w:t>
            </w:r>
          </w:p>
        </w:tc>
        <w:tc>
          <w:tcPr>
            <w:tcW w:w="2268" w:type="dxa"/>
            <w:gridSpan w:val="2"/>
            <w:tcBorders>
              <w:bottom w:val="nil"/>
            </w:tcBorders>
            <w:vAlign w:val="center"/>
          </w:tcPr>
          <w:p w:rsidR="002F5C5E" w:rsidRPr="009E2B84" w:rsidRDefault="000F380B" w:rsidP="00BF7311">
            <w:pPr>
              <w:jc w:val="center"/>
              <w:rPr>
                <w:b/>
              </w:rPr>
            </w:pPr>
            <w:r>
              <w:rPr>
                <w:b/>
              </w:rPr>
              <w:t>11</w:t>
            </w:r>
            <w:r w:rsidR="00BF7311">
              <w:rPr>
                <w:b/>
              </w:rPr>
              <w:t xml:space="preserve"> </w:t>
            </w:r>
            <w:bookmarkStart w:id="0" w:name="_GoBack"/>
            <w:bookmarkEnd w:id="0"/>
            <w:r>
              <w:rPr>
                <w:b/>
              </w:rPr>
              <w:t xml:space="preserve">September </w:t>
            </w:r>
            <w:r w:rsidR="00A512A3">
              <w:rPr>
                <w:b/>
              </w:rPr>
              <w:t>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1B1D4F" w:rsidRPr="009E2B84" w:rsidRDefault="00A512A3" w:rsidP="00A512A3">
            <w:pPr>
              <w:rPr>
                <w:b/>
              </w:rPr>
            </w:pPr>
            <w:r>
              <w:rPr>
                <w:b/>
              </w:rPr>
              <w:t>Proposed changes to vehicle age policy</w:t>
            </w:r>
          </w:p>
        </w:tc>
        <w:tc>
          <w:tcPr>
            <w:tcW w:w="2977" w:type="dxa"/>
            <w:gridSpan w:val="2"/>
            <w:vAlign w:val="center"/>
          </w:tcPr>
          <w:p w:rsidR="0047741D" w:rsidRPr="005368C1" w:rsidRDefault="005368C1" w:rsidP="001D28E4">
            <w:r>
              <w:t xml:space="preserve">Head of </w:t>
            </w:r>
            <w:r w:rsidR="003254B6">
              <w:t>Licensing</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1B1D4F" w:rsidRDefault="001B1D4F" w:rsidP="00E2196F">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1B1D4F">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Pr="00F4022F" w:rsidRDefault="002F5C5E" w:rsidP="00F4022F">
      <w:pPr>
        <w:keepNext/>
        <w:numPr>
          <w:ilvl w:val="0"/>
          <w:numId w:val="8"/>
        </w:numPr>
        <w:outlineLvl w:val="0"/>
        <w:rPr>
          <w:rFonts w:cs="Arial"/>
          <w:b/>
          <w:szCs w:val="22"/>
        </w:rPr>
      </w:pPr>
      <w:r w:rsidRPr="009C1143">
        <w:rPr>
          <w:b/>
          <w:szCs w:val="22"/>
        </w:rPr>
        <w:t xml:space="preserve">PURPOSE OF THE REPORT  </w:t>
      </w:r>
    </w:p>
    <w:p w:rsidR="000B5251" w:rsidRPr="00F4022F" w:rsidRDefault="000B5251" w:rsidP="00F4022F">
      <w:pPr>
        <w:keepNext/>
        <w:ind w:left="360"/>
        <w:outlineLvl w:val="0"/>
        <w:rPr>
          <w:rFonts w:cs="Arial"/>
          <w:b/>
          <w:szCs w:val="22"/>
        </w:rPr>
      </w:pPr>
    </w:p>
    <w:p w:rsidR="00BC63A8" w:rsidRDefault="000F380B" w:rsidP="00F4022F">
      <w:pPr>
        <w:rPr>
          <w:rFonts w:cs="Arial"/>
          <w:szCs w:val="22"/>
        </w:rPr>
      </w:pPr>
      <w:r>
        <w:rPr>
          <w:rFonts w:cs="Arial"/>
          <w:szCs w:val="22"/>
        </w:rPr>
        <w:t>To provide members with an update on the</w:t>
      </w:r>
      <w:r w:rsidR="00E26F7B">
        <w:rPr>
          <w:rFonts w:cs="Arial"/>
          <w:szCs w:val="22"/>
        </w:rPr>
        <w:t xml:space="preserve"> </w:t>
      </w:r>
      <w:r w:rsidR="00BC63A8">
        <w:rPr>
          <w:rFonts w:cs="Arial"/>
          <w:szCs w:val="22"/>
        </w:rPr>
        <w:t>proposed changes to the vehicle age policy relating to hackney car</w:t>
      </w:r>
      <w:r w:rsidR="00E26F7B">
        <w:rPr>
          <w:rFonts w:cs="Arial"/>
          <w:szCs w:val="22"/>
        </w:rPr>
        <w:t>riage and private hire vehicles</w:t>
      </w:r>
      <w:r w:rsidR="00BC63A8">
        <w:rPr>
          <w:rFonts w:cs="Arial"/>
          <w:szCs w:val="22"/>
        </w:rPr>
        <w:t>.</w:t>
      </w:r>
    </w:p>
    <w:p w:rsidR="002F5C5E" w:rsidRPr="00F4022F" w:rsidRDefault="002F5C5E" w:rsidP="00F4022F">
      <w:pPr>
        <w:rPr>
          <w:rFonts w:cs="Arial"/>
          <w:szCs w:val="22"/>
        </w:rPr>
      </w:pPr>
    </w:p>
    <w:p w:rsidR="000B5251" w:rsidRPr="00F4022F" w:rsidRDefault="000B5251" w:rsidP="00F4022F">
      <w:pPr>
        <w:keepNext/>
        <w:ind w:left="360"/>
        <w:outlineLvl w:val="0"/>
        <w:rPr>
          <w:rFonts w:cs="Arial"/>
          <w:b/>
          <w:szCs w:val="22"/>
        </w:rPr>
      </w:pPr>
    </w:p>
    <w:p w:rsidR="002F5C5E" w:rsidRPr="00C33FA8" w:rsidRDefault="002F5C5E" w:rsidP="00C33FA8">
      <w:pPr>
        <w:pStyle w:val="ListParagraph"/>
        <w:keepNext/>
        <w:numPr>
          <w:ilvl w:val="0"/>
          <w:numId w:val="8"/>
        </w:numPr>
        <w:outlineLvl w:val="0"/>
        <w:rPr>
          <w:rFonts w:ascii="Arial" w:hAnsi="Arial" w:cs="Arial"/>
          <w:b/>
        </w:rPr>
      </w:pPr>
      <w:r w:rsidRPr="00C33FA8">
        <w:rPr>
          <w:rFonts w:ascii="Arial" w:hAnsi="Arial" w:cs="Arial"/>
          <w:b/>
        </w:rPr>
        <w:t>CORPORATE PRIORITIES</w:t>
      </w:r>
    </w:p>
    <w:p w:rsidR="00772B9C" w:rsidRPr="00F4022F" w:rsidRDefault="00772B9C" w:rsidP="00F4022F">
      <w:pPr>
        <w:keepNext/>
        <w:outlineLvl w:val="0"/>
        <w:rPr>
          <w:rFonts w:cs="Arial"/>
          <w:b/>
          <w:szCs w:val="22"/>
        </w:rPr>
      </w:pPr>
    </w:p>
    <w:p w:rsidR="00772B9C" w:rsidRPr="00F4022F" w:rsidRDefault="00772B9C" w:rsidP="00F4022F">
      <w:pPr>
        <w:keepNext/>
        <w:ind w:left="360"/>
        <w:outlineLvl w:val="0"/>
        <w:rPr>
          <w:rFonts w:cs="Arial"/>
          <w:i/>
          <w:color w:val="2E74B5"/>
          <w:szCs w:val="22"/>
        </w:rPr>
      </w:pPr>
      <w:r w:rsidRPr="00F4022F">
        <w:rPr>
          <w:rFonts w:cs="Arial"/>
          <w:szCs w:val="22"/>
        </w:rPr>
        <w:t>The report relates to the following corporate priorities:</w:t>
      </w:r>
    </w:p>
    <w:p w:rsidR="00772B9C" w:rsidRPr="00F4022F" w:rsidRDefault="00772B9C" w:rsidP="00F4022F">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F4022F" w:rsidTr="000E4458">
        <w:tc>
          <w:tcPr>
            <w:tcW w:w="4423" w:type="dxa"/>
            <w:shd w:val="clear" w:color="auto" w:fill="auto"/>
          </w:tcPr>
          <w:p w:rsidR="00772B9C" w:rsidRPr="00F4022F" w:rsidRDefault="00772B9C" w:rsidP="00F4022F">
            <w:pPr>
              <w:rPr>
                <w:rFonts w:cs="Arial"/>
                <w:szCs w:val="22"/>
              </w:rPr>
            </w:pPr>
            <w:r w:rsidRPr="00F4022F">
              <w:rPr>
                <w:rFonts w:cs="Arial"/>
                <w:szCs w:val="22"/>
              </w:rPr>
              <w:t>Excellence and Financial Sustainability</w:t>
            </w:r>
          </w:p>
          <w:p w:rsidR="00772B9C" w:rsidRPr="00F4022F" w:rsidRDefault="00772B9C" w:rsidP="00F4022F">
            <w:pPr>
              <w:rPr>
                <w:rFonts w:cs="Arial"/>
                <w:szCs w:val="22"/>
              </w:rPr>
            </w:pPr>
          </w:p>
        </w:tc>
        <w:tc>
          <w:tcPr>
            <w:tcW w:w="850" w:type="dxa"/>
            <w:shd w:val="clear" w:color="auto" w:fill="auto"/>
          </w:tcPr>
          <w:p w:rsidR="00772B9C" w:rsidRPr="00F4022F" w:rsidRDefault="001D28E4" w:rsidP="00F4022F">
            <w:pPr>
              <w:rPr>
                <w:rFonts w:cs="Arial"/>
                <w:szCs w:val="22"/>
                <w:highlight w:val="yellow"/>
              </w:rPr>
            </w:pPr>
            <w:r w:rsidRPr="00F4022F">
              <w:rPr>
                <w:rFonts w:cs="Arial"/>
                <w:szCs w:val="22"/>
              </w:rPr>
              <w:t>x</w:t>
            </w:r>
          </w:p>
        </w:tc>
      </w:tr>
      <w:tr w:rsidR="00772B9C" w:rsidRPr="00F4022F" w:rsidTr="000E4458">
        <w:tc>
          <w:tcPr>
            <w:tcW w:w="4423" w:type="dxa"/>
            <w:shd w:val="clear" w:color="auto" w:fill="auto"/>
          </w:tcPr>
          <w:p w:rsidR="00772B9C" w:rsidRPr="00F4022F" w:rsidRDefault="00772B9C" w:rsidP="00F4022F">
            <w:pPr>
              <w:rPr>
                <w:rFonts w:cs="Arial"/>
                <w:szCs w:val="22"/>
              </w:rPr>
            </w:pPr>
            <w:r w:rsidRPr="00F4022F">
              <w:rPr>
                <w:rFonts w:cs="Arial"/>
                <w:szCs w:val="22"/>
              </w:rPr>
              <w:t>Health and Wellbeing</w:t>
            </w:r>
          </w:p>
          <w:p w:rsidR="00772B9C" w:rsidRPr="00F4022F" w:rsidRDefault="00772B9C" w:rsidP="00F4022F">
            <w:pPr>
              <w:rPr>
                <w:rFonts w:cs="Arial"/>
                <w:szCs w:val="22"/>
              </w:rPr>
            </w:pPr>
          </w:p>
        </w:tc>
        <w:tc>
          <w:tcPr>
            <w:tcW w:w="850" w:type="dxa"/>
            <w:shd w:val="clear" w:color="auto" w:fill="auto"/>
          </w:tcPr>
          <w:p w:rsidR="00772B9C" w:rsidRPr="00F4022F" w:rsidRDefault="00772B9C" w:rsidP="00F4022F">
            <w:pPr>
              <w:rPr>
                <w:rFonts w:cs="Arial"/>
                <w:szCs w:val="22"/>
                <w:highlight w:val="yellow"/>
              </w:rPr>
            </w:pPr>
          </w:p>
        </w:tc>
      </w:tr>
      <w:tr w:rsidR="00772B9C" w:rsidRPr="00F4022F" w:rsidTr="000E4458">
        <w:tc>
          <w:tcPr>
            <w:tcW w:w="4423" w:type="dxa"/>
            <w:shd w:val="clear" w:color="auto" w:fill="auto"/>
          </w:tcPr>
          <w:p w:rsidR="00772B9C" w:rsidRPr="00F4022F" w:rsidRDefault="00772B9C" w:rsidP="00F4022F">
            <w:pPr>
              <w:rPr>
                <w:rFonts w:cs="Arial"/>
                <w:szCs w:val="22"/>
              </w:rPr>
            </w:pPr>
            <w:r w:rsidRPr="00F4022F">
              <w:rPr>
                <w:rFonts w:cs="Arial"/>
                <w:szCs w:val="22"/>
              </w:rPr>
              <w:t>Place</w:t>
            </w:r>
          </w:p>
          <w:p w:rsidR="00772B9C" w:rsidRPr="00F4022F" w:rsidRDefault="00772B9C" w:rsidP="00F4022F">
            <w:pPr>
              <w:rPr>
                <w:rFonts w:cs="Arial"/>
                <w:szCs w:val="22"/>
              </w:rPr>
            </w:pPr>
          </w:p>
        </w:tc>
        <w:tc>
          <w:tcPr>
            <w:tcW w:w="850" w:type="dxa"/>
            <w:shd w:val="clear" w:color="auto" w:fill="auto"/>
          </w:tcPr>
          <w:p w:rsidR="00772B9C" w:rsidRPr="00F4022F" w:rsidRDefault="00772B9C" w:rsidP="00F4022F">
            <w:pPr>
              <w:rPr>
                <w:rFonts w:cs="Arial"/>
                <w:szCs w:val="22"/>
              </w:rPr>
            </w:pPr>
          </w:p>
        </w:tc>
      </w:tr>
    </w:tbl>
    <w:p w:rsidR="00772B9C" w:rsidRPr="00F4022F" w:rsidRDefault="00772B9C" w:rsidP="00F4022F">
      <w:pPr>
        <w:rPr>
          <w:rFonts w:cs="Arial"/>
          <w:szCs w:val="22"/>
        </w:rPr>
      </w:pPr>
    </w:p>
    <w:p w:rsidR="002F5C5E" w:rsidRPr="00F4022F" w:rsidRDefault="002F5C5E" w:rsidP="00F4022F">
      <w:pPr>
        <w:rPr>
          <w:rFonts w:cs="Arial"/>
          <w:szCs w:val="22"/>
        </w:rPr>
      </w:pPr>
    </w:p>
    <w:p w:rsidR="000B621E" w:rsidRDefault="000B621E" w:rsidP="00A512A3">
      <w:pPr>
        <w:pStyle w:val="ListParagraph"/>
        <w:numPr>
          <w:ilvl w:val="0"/>
          <w:numId w:val="8"/>
        </w:numPr>
        <w:rPr>
          <w:rFonts w:ascii="Arial" w:hAnsi="Arial" w:cs="Arial"/>
          <w:b/>
        </w:rPr>
      </w:pPr>
      <w:r w:rsidRPr="0052590D">
        <w:rPr>
          <w:rFonts w:ascii="Arial" w:hAnsi="Arial" w:cs="Arial"/>
          <w:b/>
        </w:rPr>
        <w:t>RECOMMENDATIONS</w:t>
      </w:r>
    </w:p>
    <w:p w:rsidR="00E26F7B" w:rsidRPr="0052590D" w:rsidRDefault="00E26F7B" w:rsidP="00E26F7B">
      <w:pPr>
        <w:pStyle w:val="ListParagraph"/>
        <w:ind w:left="502"/>
        <w:rPr>
          <w:rFonts w:ascii="Arial" w:hAnsi="Arial" w:cs="Arial"/>
          <w:b/>
        </w:rPr>
      </w:pPr>
    </w:p>
    <w:p w:rsidR="000F380B" w:rsidRPr="00E26F7B" w:rsidRDefault="00B70361" w:rsidP="000F380B">
      <w:pPr>
        <w:pStyle w:val="ListParagraph"/>
        <w:numPr>
          <w:ilvl w:val="1"/>
          <w:numId w:val="8"/>
        </w:numPr>
        <w:rPr>
          <w:rFonts w:ascii="Arial" w:hAnsi="Arial" w:cs="Arial"/>
        </w:rPr>
      </w:pPr>
      <w:r w:rsidRPr="00E26F7B">
        <w:rPr>
          <w:rFonts w:ascii="Arial" w:hAnsi="Arial" w:cs="Arial"/>
        </w:rPr>
        <w:t>That t</w:t>
      </w:r>
      <w:r w:rsidR="00A512A3" w:rsidRPr="00E26F7B">
        <w:rPr>
          <w:rFonts w:ascii="Arial" w:hAnsi="Arial" w:cs="Arial"/>
        </w:rPr>
        <w:t>he committee note the response to the consultation</w:t>
      </w:r>
      <w:r w:rsidR="000F380B" w:rsidRPr="00E26F7B">
        <w:rPr>
          <w:rFonts w:ascii="Arial" w:hAnsi="Arial" w:cs="Arial"/>
        </w:rPr>
        <w:t xml:space="preserve"> exercise that has been carried out</w:t>
      </w:r>
    </w:p>
    <w:p w:rsidR="00E26F7B" w:rsidRPr="00E26F7B" w:rsidRDefault="00E26F7B" w:rsidP="00E26F7B">
      <w:pPr>
        <w:pStyle w:val="ListParagraph"/>
        <w:rPr>
          <w:rFonts w:ascii="Arial" w:hAnsi="Arial" w:cs="Arial"/>
        </w:rPr>
      </w:pPr>
    </w:p>
    <w:p w:rsidR="000F380B" w:rsidRPr="00E26F7B" w:rsidRDefault="000F380B" w:rsidP="000F380B">
      <w:pPr>
        <w:pStyle w:val="ListParagraph"/>
        <w:numPr>
          <w:ilvl w:val="1"/>
          <w:numId w:val="8"/>
        </w:numPr>
        <w:rPr>
          <w:rFonts w:ascii="Arial" w:hAnsi="Arial" w:cs="Arial"/>
        </w:rPr>
      </w:pPr>
      <w:r w:rsidRPr="00E26F7B">
        <w:rPr>
          <w:rFonts w:ascii="Arial" w:hAnsi="Arial" w:cs="Arial"/>
        </w:rPr>
        <w:t>That committee determine the best way forward – in this regard committee is asked to have regard</w:t>
      </w:r>
      <w:r w:rsidR="0069370C">
        <w:rPr>
          <w:rFonts w:ascii="Arial" w:hAnsi="Arial" w:cs="Arial"/>
        </w:rPr>
        <w:t xml:space="preserve"> not only</w:t>
      </w:r>
      <w:r w:rsidRPr="00E26F7B">
        <w:rPr>
          <w:rFonts w:ascii="Arial" w:hAnsi="Arial" w:cs="Arial"/>
        </w:rPr>
        <w:t xml:space="preserve"> to the</w:t>
      </w:r>
      <w:r w:rsidR="00E26F7B" w:rsidRPr="00E26F7B">
        <w:rPr>
          <w:rFonts w:ascii="Arial" w:hAnsi="Arial" w:cs="Arial"/>
        </w:rPr>
        <w:t xml:space="preserve"> results of the consultation exercise that has been carried out with the trade but also to consider carefully</w:t>
      </w:r>
      <w:r w:rsidR="0069370C">
        <w:rPr>
          <w:rFonts w:ascii="Arial" w:hAnsi="Arial" w:cs="Arial"/>
        </w:rPr>
        <w:t xml:space="preserve"> the</w:t>
      </w:r>
      <w:r w:rsidRPr="00E26F7B">
        <w:rPr>
          <w:rFonts w:ascii="Arial" w:hAnsi="Arial" w:cs="Arial"/>
        </w:rPr>
        <w:t xml:space="preserve"> concerns that have been raised by the council’s Environmental Health department</w:t>
      </w:r>
    </w:p>
    <w:p w:rsidR="006D748F" w:rsidRPr="00F4022F" w:rsidRDefault="006D748F" w:rsidP="00F4022F">
      <w:pPr>
        <w:rPr>
          <w:rFonts w:cs="Arial"/>
          <w:b/>
          <w:szCs w:val="22"/>
        </w:rPr>
      </w:pPr>
    </w:p>
    <w:p w:rsidR="006D748F" w:rsidRPr="0069370C" w:rsidRDefault="006D748F" w:rsidP="00F4022F">
      <w:pPr>
        <w:rPr>
          <w:rFonts w:cs="Arial"/>
          <w:b/>
          <w:szCs w:val="22"/>
        </w:rPr>
      </w:pPr>
    </w:p>
    <w:p w:rsidR="002F5C5E" w:rsidRPr="0069370C" w:rsidRDefault="002F5C5E" w:rsidP="000F380B">
      <w:pPr>
        <w:pStyle w:val="ListParagraph"/>
        <w:numPr>
          <w:ilvl w:val="0"/>
          <w:numId w:val="8"/>
        </w:numPr>
        <w:rPr>
          <w:rFonts w:ascii="Arial" w:hAnsi="Arial" w:cs="Arial"/>
          <w:b/>
        </w:rPr>
      </w:pPr>
      <w:r w:rsidRPr="0069370C">
        <w:rPr>
          <w:rFonts w:ascii="Arial" w:hAnsi="Arial" w:cs="Arial"/>
          <w:b/>
        </w:rPr>
        <w:lastRenderedPageBreak/>
        <w:t>BACKGROUND TO THE REPORT</w:t>
      </w:r>
    </w:p>
    <w:p w:rsidR="00A512A3" w:rsidRPr="00A512A3" w:rsidRDefault="00A512A3" w:rsidP="00A512A3">
      <w:pPr>
        <w:rPr>
          <w:rFonts w:cs="Arial"/>
          <w:b/>
        </w:rPr>
      </w:pPr>
    </w:p>
    <w:p w:rsidR="00A512A3" w:rsidRDefault="00A512A3" w:rsidP="00A512A3">
      <w:pPr>
        <w:pStyle w:val="Header"/>
        <w:numPr>
          <w:ilvl w:val="1"/>
          <w:numId w:val="44"/>
        </w:numPr>
        <w:jc w:val="both"/>
      </w:pPr>
      <w:r>
        <w:t>U</w:t>
      </w:r>
      <w:r w:rsidRPr="006B559E">
        <w:t>nder the Council’s current Licensing Policy different</w:t>
      </w:r>
      <w:r w:rsidR="00B70361">
        <w:t xml:space="preserve"> </w:t>
      </w:r>
      <w:r w:rsidRPr="006B559E">
        <w:t>age limits</w:t>
      </w:r>
      <w:r w:rsidR="00B70361">
        <w:t xml:space="preserve"> </w:t>
      </w:r>
      <w:r w:rsidRPr="006B559E">
        <w:t xml:space="preserve">are imposed for saloon vehicles as opposed to wheelchair accessible vehicles (WAVs).  A table summarising what this differentiated age policy means in practice is set out below: </w:t>
      </w:r>
    </w:p>
    <w:p w:rsidR="00A512A3" w:rsidRDefault="00A512A3" w:rsidP="00A512A3">
      <w:pPr>
        <w:pStyle w:val="Header"/>
        <w:jc w:val="both"/>
      </w:pPr>
    </w:p>
    <w:p w:rsidR="00A512A3" w:rsidRDefault="00A512A3" w:rsidP="00A512A3">
      <w:pPr>
        <w:pStyle w:val="Header"/>
        <w:jc w:val="both"/>
      </w:pPr>
    </w:p>
    <w:p w:rsidR="00A512A3" w:rsidRDefault="00A512A3" w:rsidP="00A512A3">
      <w:pPr>
        <w:pStyle w:val="Header"/>
        <w:jc w:val="both"/>
      </w:pPr>
    </w:p>
    <w:p w:rsidR="00A512A3" w:rsidRDefault="00A512A3" w:rsidP="00A512A3">
      <w:pPr>
        <w:pStyle w:val="Header"/>
        <w:jc w:val="both"/>
      </w:pPr>
    </w:p>
    <w:p w:rsidR="00A512A3" w:rsidRDefault="00A512A3" w:rsidP="00A512A3">
      <w:pPr>
        <w:pStyle w:val="Header"/>
        <w:jc w:val="both"/>
      </w:pPr>
    </w:p>
    <w:p w:rsidR="0052590D" w:rsidRDefault="0052590D" w:rsidP="00A512A3">
      <w:pPr>
        <w:pStyle w:val="Header"/>
        <w:jc w:val="both"/>
      </w:pPr>
    </w:p>
    <w:p w:rsidR="0052590D" w:rsidRDefault="0052590D" w:rsidP="00A512A3">
      <w:pPr>
        <w:pStyle w:val="Header"/>
        <w:jc w:val="both"/>
      </w:pPr>
    </w:p>
    <w:p w:rsidR="00A512A3" w:rsidRPr="006B559E" w:rsidRDefault="00A512A3" w:rsidP="00A512A3">
      <w:pPr>
        <w:pStyle w:val="Header"/>
        <w:jc w:val="both"/>
      </w:pPr>
    </w:p>
    <w:tbl>
      <w:tblPr>
        <w:tblW w:w="9913" w:type="dxa"/>
        <w:tblCellMar>
          <w:left w:w="0" w:type="dxa"/>
          <w:right w:w="0" w:type="dxa"/>
        </w:tblCellMar>
        <w:tblLook w:val="04A0" w:firstRow="1" w:lastRow="0" w:firstColumn="1" w:lastColumn="0" w:noHBand="0" w:noVBand="1"/>
      </w:tblPr>
      <w:tblGrid>
        <w:gridCol w:w="951"/>
        <w:gridCol w:w="2158"/>
        <w:gridCol w:w="2183"/>
        <w:gridCol w:w="2211"/>
        <w:gridCol w:w="2410"/>
      </w:tblGrid>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t> </w:t>
            </w:r>
          </w:p>
        </w:tc>
        <w:tc>
          <w:tcPr>
            <w:tcW w:w="43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rPr>
                <w:b/>
                <w:bCs/>
              </w:rPr>
              <w:t>Hackney Carriage</w:t>
            </w:r>
          </w:p>
        </w:tc>
        <w:tc>
          <w:tcPr>
            <w:tcW w:w="46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rPr>
                <w:b/>
                <w:bCs/>
              </w:rPr>
              <w:t>Private Hire</w:t>
            </w:r>
          </w:p>
        </w:tc>
      </w:tr>
      <w:tr w:rsidR="00A512A3" w:rsidRPr="006B559E" w:rsidTr="001D30F9">
        <w:trPr>
          <w:trHeight w:val="743"/>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t> </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first registration  (years)</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 xml:space="preserve">Maximum age on renewal (years)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first registration (years)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renewal      (years)</w:t>
            </w:r>
          </w:p>
        </w:tc>
      </w:tr>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Saloon</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4</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8</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8</w:t>
            </w:r>
          </w:p>
        </w:tc>
      </w:tr>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WAV</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6</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12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t>12</w:t>
            </w:r>
          </w:p>
        </w:tc>
      </w:tr>
    </w:tbl>
    <w:p w:rsidR="002A4F7E" w:rsidRDefault="002A4F7E" w:rsidP="00A512A3">
      <w:pPr>
        <w:pStyle w:val="Header"/>
        <w:jc w:val="both"/>
      </w:pPr>
    </w:p>
    <w:p w:rsidR="00A512A3" w:rsidRDefault="0052590D" w:rsidP="0052590D">
      <w:pPr>
        <w:pStyle w:val="Heading1"/>
        <w:numPr>
          <w:ilvl w:val="0"/>
          <w:numId w:val="0"/>
        </w:numPr>
        <w:ind w:left="432" w:hanging="432"/>
      </w:pPr>
      <w:r>
        <w:rPr>
          <w:b w:val="0"/>
        </w:rPr>
        <w:t xml:space="preserve"> </w:t>
      </w:r>
      <w:r w:rsidRPr="0052590D">
        <w:rPr>
          <w:b w:val="0"/>
        </w:rPr>
        <w:t>4.</w:t>
      </w:r>
      <w:r w:rsidR="00B70361">
        <w:rPr>
          <w:b w:val="0"/>
        </w:rPr>
        <w:t>2</w:t>
      </w:r>
      <w:r>
        <w:t xml:space="preserve"> </w:t>
      </w:r>
      <w:r w:rsidRPr="0052590D">
        <w:rPr>
          <w:b w:val="0"/>
        </w:rPr>
        <w:t>At</w:t>
      </w:r>
      <w:r w:rsidR="00A512A3" w:rsidRPr="0052590D">
        <w:rPr>
          <w:b w:val="0"/>
        </w:rPr>
        <w:t xml:space="preserve"> meetings of the Taxi Trade Forum during 2017, the Borough’s licensed trade queried whether </w:t>
      </w:r>
      <w:r w:rsidR="000F380B">
        <w:rPr>
          <w:b w:val="0"/>
        </w:rPr>
        <w:t xml:space="preserve"> </w:t>
      </w:r>
      <w:r w:rsidR="002A4F7E" w:rsidRPr="0052590D">
        <w:rPr>
          <w:b w:val="0"/>
        </w:rPr>
        <w:t xml:space="preserve">  </w:t>
      </w:r>
      <w:r w:rsidR="00A512A3" w:rsidRPr="0052590D">
        <w:rPr>
          <w:b w:val="0"/>
        </w:rPr>
        <w:t>this differentiated approach remained justifiable (given that - in the trade’s view - historic factors which previously underpinned this approach were no longer applicable).   As a result, the General Licensing Committee agreed to set up a working group to consider the matter in detail.  This working group consisted of members of the General Licensing Committee, as well as trade and voluntary group representation.  The working group met on 22 February 2018, and after due deliberation reached a consensus on this issue.  In brief, the working group recommended that the current differentiated age policy as set out above should be abandoned and replaced by a standardised age policy.  If adopted, this would mean that the proposed age limits for all vehicles (whether saloon or wheelchair accessible) would be 6 years on first application and up to 12 years on renewal.</w:t>
      </w:r>
    </w:p>
    <w:p w:rsidR="00A512A3" w:rsidRDefault="00A512A3" w:rsidP="00A512A3">
      <w:pPr>
        <w:pStyle w:val="Header"/>
        <w:jc w:val="both"/>
      </w:pPr>
    </w:p>
    <w:p w:rsidR="00A512A3" w:rsidRDefault="00B70361" w:rsidP="00BF1C22">
      <w:pPr>
        <w:pStyle w:val="Header"/>
        <w:ind w:left="141"/>
        <w:jc w:val="both"/>
      </w:pPr>
      <w:r>
        <w:t>4.3</w:t>
      </w:r>
      <w:r w:rsidR="0069370C">
        <w:t xml:space="preserve"> </w:t>
      </w:r>
      <w:r w:rsidR="00A512A3">
        <w:t>The table below illustrates the proposed age policy;</w:t>
      </w:r>
    </w:p>
    <w:p w:rsidR="00A512A3" w:rsidRDefault="00A512A3" w:rsidP="00A512A3">
      <w:pPr>
        <w:pStyle w:val="Header"/>
        <w:jc w:val="both"/>
      </w:pPr>
    </w:p>
    <w:tbl>
      <w:tblPr>
        <w:tblW w:w="9913" w:type="dxa"/>
        <w:tblCellMar>
          <w:left w:w="0" w:type="dxa"/>
          <w:right w:w="0" w:type="dxa"/>
        </w:tblCellMar>
        <w:tblLook w:val="04A0" w:firstRow="1" w:lastRow="0" w:firstColumn="1" w:lastColumn="0" w:noHBand="0" w:noVBand="1"/>
      </w:tblPr>
      <w:tblGrid>
        <w:gridCol w:w="951"/>
        <w:gridCol w:w="2158"/>
        <w:gridCol w:w="2183"/>
        <w:gridCol w:w="2211"/>
        <w:gridCol w:w="2410"/>
      </w:tblGrid>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t> </w:t>
            </w:r>
          </w:p>
        </w:tc>
        <w:tc>
          <w:tcPr>
            <w:tcW w:w="43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rPr>
                <w:b/>
                <w:bCs/>
              </w:rPr>
              <w:t>Hackney Carriage</w:t>
            </w:r>
          </w:p>
        </w:tc>
        <w:tc>
          <w:tcPr>
            <w:tcW w:w="46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center"/>
            </w:pPr>
            <w:r w:rsidRPr="006B559E">
              <w:rPr>
                <w:b/>
                <w:bCs/>
              </w:rPr>
              <w:t>Private Hire</w:t>
            </w:r>
          </w:p>
        </w:tc>
      </w:tr>
      <w:tr w:rsidR="00A512A3" w:rsidRPr="006B559E" w:rsidTr="001D30F9">
        <w:trPr>
          <w:trHeight w:val="743"/>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t> </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first registration  (years)</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 xml:space="preserve">Maximum age on renewal (years)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first registration (years)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Maximum age on renewal      (years)</w:t>
            </w:r>
          </w:p>
        </w:tc>
      </w:tr>
      <w:tr w:rsidR="00A512A3" w:rsidRPr="006B559E" w:rsidTr="001D30F9">
        <w:trPr>
          <w:trHeight w:val="55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Pr="006B559E" w:rsidRDefault="00A512A3" w:rsidP="001D30F9">
            <w:pPr>
              <w:pStyle w:val="Header"/>
              <w:jc w:val="both"/>
            </w:pPr>
            <w:r w:rsidRPr="006B559E">
              <w:rPr>
                <w:b/>
                <w:bCs/>
              </w:rPr>
              <w:t>Saloon</w:t>
            </w:r>
            <w:r>
              <w:rPr>
                <w:b/>
                <w:bCs/>
              </w:rPr>
              <w:t xml:space="preserve"> and WAV</w:t>
            </w: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Default="00A512A3" w:rsidP="001D30F9">
            <w:pPr>
              <w:pStyle w:val="Header"/>
              <w:jc w:val="center"/>
            </w:pPr>
          </w:p>
          <w:p w:rsidR="00A512A3" w:rsidRPr="006B559E" w:rsidRDefault="00A512A3" w:rsidP="001D30F9">
            <w:pPr>
              <w:pStyle w:val="Header"/>
              <w:jc w:val="center"/>
            </w:pPr>
            <w:r>
              <w:t>6</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Default="00A512A3" w:rsidP="001D30F9">
            <w:pPr>
              <w:pStyle w:val="Header"/>
              <w:jc w:val="center"/>
            </w:pPr>
          </w:p>
          <w:p w:rsidR="00A512A3" w:rsidRPr="006B559E" w:rsidRDefault="00A512A3" w:rsidP="001D30F9">
            <w:pPr>
              <w:pStyle w:val="Header"/>
              <w:jc w:val="center"/>
            </w:pPr>
            <w:r>
              <w:t>12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Default="00A512A3" w:rsidP="001D30F9">
            <w:pPr>
              <w:pStyle w:val="Header"/>
              <w:jc w:val="center"/>
            </w:pPr>
          </w:p>
          <w:p w:rsidR="00A512A3" w:rsidRPr="006B559E" w:rsidRDefault="00A512A3" w:rsidP="001D30F9">
            <w:pPr>
              <w:pStyle w:val="Header"/>
              <w:jc w:val="center"/>
            </w:pPr>
            <w: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512A3" w:rsidRDefault="00A512A3" w:rsidP="001D30F9">
            <w:pPr>
              <w:pStyle w:val="Header"/>
              <w:jc w:val="center"/>
            </w:pPr>
          </w:p>
          <w:p w:rsidR="00A512A3" w:rsidRPr="006B559E" w:rsidRDefault="00A512A3" w:rsidP="001D30F9">
            <w:pPr>
              <w:pStyle w:val="Header"/>
              <w:jc w:val="center"/>
            </w:pPr>
            <w:r>
              <w:t>12</w:t>
            </w:r>
          </w:p>
        </w:tc>
      </w:tr>
    </w:tbl>
    <w:p w:rsidR="0052590D" w:rsidRDefault="0052590D" w:rsidP="00A512A3">
      <w:pPr>
        <w:pStyle w:val="Header"/>
        <w:jc w:val="both"/>
      </w:pPr>
    </w:p>
    <w:p w:rsidR="0052590D" w:rsidRPr="006B559E" w:rsidRDefault="0052590D" w:rsidP="00A512A3">
      <w:pPr>
        <w:pStyle w:val="Header"/>
        <w:jc w:val="both"/>
      </w:pPr>
    </w:p>
    <w:p w:rsidR="00A33B5B" w:rsidRPr="000F380B" w:rsidRDefault="00B70361" w:rsidP="000F380B">
      <w:pPr>
        <w:spacing w:after="120"/>
        <w:outlineLvl w:val="3"/>
        <w:rPr>
          <w:rFonts w:cs="Arial"/>
          <w:color w:val="000000"/>
          <w:lang w:val="en"/>
        </w:rPr>
      </w:pPr>
      <w:r w:rsidRPr="000F380B">
        <w:rPr>
          <w:rFonts w:cs="Arial"/>
        </w:rPr>
        <w:t>4</w:t>
      </w:r>
      <w:r w:rsidR="000F380B" w:rsidRPr="000F380B">
        <w:rPr>
          <w:rFonts w:cs="Arial"/>
        </w:rPr>
        <w:t>.</w:t>
      </w:r>
      <w:r w:rsidR="00BF1C22" w:rsidRPr="000F380B">
        <w:rPr>
          <w:rFonts w:cs="Arial"/>
        </w:rPr>
        <w:t>4</w:t>
      </w:r>
      <w:r w:rsidRPr="000F380B">
        <w:rPr>
          <w:rFonts w:cs="Arial"/>
        </w:rPr>
        <w:t xml:space="preserve"> </w:t>
      </w:r>
      <w:r w:rsidR="00A512A3" w:rsidRPr="000F380B">
        <w:rPr>
          <w:rFonts w:cs="Arial"/>
        </w:rPr>
        <w:t>The working</w:t>
      </w:r>
      <w:r w:rsidRPr="000F380B">
        <w:rPr>
          <w:rFonts w:cs="Arial"/>
        </w:rPr>
        <w:t xml:space="preserve"> group</w:t>
      </w:r>
      <w:r w:rsidR="00A512A3" w:rsidRPr="000F380B">
        <w:rPr>
          <w:rFonts w:cs="Arial"/>
        </w:rPr>
        <w:t xml:space="preserve"> produced a detailed report setting out its methodology and the rationale for</w:t>
      </w:r>
      <w:r w:rsidR="0069370C">
        <w:rPr>
          <w:rFonts w:cs="Arial"/>
        </w:rPr>
        <w:t xml:space="preserve">  </w:t>
      </w:r>
      <w:r w:rsidR="00A512A3" w:rsidRPr="000F380B">
        <w:rPr>
          <w:rFonts w:cs="Arial"/>
        </w:rPr>
        <w:t>concluding that a standardised age policy was the way forward.  This report was presented to the General Licensing Committee on 10 April 2018, when it was agreed that the proposed change of approach should be subject to a period of formal consultation.  (A formal period of consultation is a mandatory precursor to any</w:t>
      </w:r>
      <w:r w:rsidR="000F380B">
        <w:rPr>
          <w:rFonts w:cs="Arial"/>
        </w:rPr>
        <w:t xml:space="preserve"> such change</w:t>
      </w:r>
      <w:r w:rsidR="00A512A3" w:rsidRPr="000F380B">
        <w:rPr>
          <w:rFonts w:cs="Arial"/>
        </w:rPr>
        <w:t xml:space="preserve">).  </w:t>
      </w:r>
      <w:r w:rsidR="00265FDB" w:rsidRPr="000F380B">
        <w:rPr>
          <w:rFonts w:cs="Arial"/>
        </w:rPr>
        <w:t xml:space="preserve"> </w:t>
      </w:r>
      <w:r w:rsidR="00A33B5B" w:rsidRPr="000F380B">
        <w:rPr>
          <w:rFonts w:cs="Arial"/>
          <w:b/>
          <w:bCs/>
          <w:vanish/>
          <w:color w:val="FFFFFF"/>
          <w:shd w:val="clear" w:color="auto" w:fill="660066"/>
          <w:lang w:val="en"/>
        </w:rPr>
        <w:t>E+W</w:t>
      </w:r>
    </w:p>
    <w:p w:rsidR="0016571F" w:rsidRPr="00F4022F" w:rsidRDefault="0016571F" w:rsidP="00F4022F">
      <w:pPr>
        <w:ind w:left="426"/>
        <w:rPr>
          <w:rFonts w:cs="Arial"/>
          <w:i/>
          <w:color w:val="0070C0"/>
          <w:szCs w:val="22"/>
        </w:rPr>
      </w:pPr>
    </w:p>
    <w:p w:rsidR="001938D6" w:rsidRPr="00F4022F" w:rsidRDefault="006D748F" w:rsidP="00F4022F">
      <w:pPr>
        <w:rPr>
          <w:rFonts w:cs="Arial"/>
          <w:b/>
          <w:szCs w:val="22"/>
        </w:rPr>
      </w:pPr>
      <w:r w:rsidRPr="0052590D">
        <w:rPr>
          <w:rFonts w:cs="Arial"/>
          <w:szCs w:val="22"/>
        </w:rPr>
        <w:t>5</w:t>
      </w:r>
      <w:r w:rsidR="002F5C5E" w:rsidRPr="0052590D">
        <w:rPr>
          <w:rFonts w:cs="Arial"/>
          <w:szCs w:val="22"/>
        </w:rPr>
        <w:t>.</w:t>
      </w:r>
      <w:r w:rsidR="00B70361">
        <w:rPr>
          <w:rFonts w:cs="Arial"/>
          <w:szCs w:val="22"/>
        </w:rPr>
        <w:t>0</w:t>
      </w:r>
      <w:r w:rsidR="002F5C5E" w:rsidRPr="0052590D">
        <w:rPr>
          <w:rFonts w:cs="Arial"/>
          <w:szCs w:val="22"/>
        </w:rPr>
        <w:t xml:space="preserve"> </w:t>
      </w:r>
      <w:r w:rsidR="001938D6" w:rsidRPr="00F4022F">
        <w:rPr>
          <w:rFonts w:cs="Arial"/>
          <w:b/>
          <w:szCs w:val="22"/>
        </w:rPr>
        <w:t xml:space="preserve">CONSULTATION CARRIED OUT AND OUTCOME OF CONSULTATION </w:t>
      </w:r>
    </w:p>
    <w:p w:rsidR="009674A1" w:rsidRPr="00F4022F" w:rsidRDefault="009674A1" w:rsidP="00F4022F">
      <w:pPr>
        <w:rPr>
          <w:rFonts w:cs="Arial"/>
          <w:b/>
          <w:szCs w:val="22"/>
        </w:rPr>
      </w:pPr>
    </w:p>
    <w:p w:rsidR="009674A1" w:rsidRPr="00B55755" w:rsidRDefault="00B70361" w:rsidP="00F4022F">
      <w:pPr>
        <w:rPr>
          <w:rFonts w:cs="Arial"/>
          <w:szCs w:val="22"/>
        </w:rPr>
      </w:pPr>
      <w:r>
        <w:rPr>
          <w:rFonts w:cs="Arial"/>
          <w:szCs w:val="22"/>
        </w:rPr>
        <w:t xml:space="preserve">5.1 </w:t>
      </w:r>
      <w:r w:rsidR="002A4F7E" w:rsidRPr="00B55755">
        <w:rPr>
          <w:rFonts w:cs="Arial"/>
          <w:szCs w:val="22"/>
        </w:rPr>
        <w:t>The consultation took place between the 1</w:t>
      </w:r>
      <w:r w:rsidR="002A4F7E" w:rsidRPr="00B55755">
        <w:rPr>
          <w:rFonts w:cs="Arial"/>
          <w:szCs w:val="22"/>
          <w:vertAlign w:val="superscript"/>
        </w:rPr>
        <w:t>st</w:t>
      </w:r>
      <w:r w:rsidR="002A4F7E" w:rsidRPr="00B55755">
        <w:rPr>
          <w:rFonts w:cs="Arial"/>
          <w:szCs w:val="22"/>
        </w:rPr>
        <w:t xml:space="preserve"> </w:t>
      </w:r>
      <w:r w:rsidR="00BC63A8" w:rsidRPr="00B55755">
        <w:rPr>
          <w:rFonts w:cs="Arial"/>
          <w:szCs w:val="22"/>
        </w:rPr>
        <w:t>M</w:t>
      </w:r>
      <w:r w:rsidR="002A4F7E" w:rsidRPr="00B55755">
        <w:rPr>
          <w:rFonts w:cs="Arial"/>
          <w:szCs w:val="22"/>
        </w:rPr>
        <w:t>ay and the 28</w:t>
      </w:r>
      <w:r w:rsidR="002A4F7E" w:rsidRPr="00B55755">
        <w:rPr>
          <w:rFonts w:cs="Arial"/>
          <w:szCs w:val="22"/>
          <w:vertAlign w:val="superscript"/>
        </w:rPr>
        <w:t>th</w:t>
      </w:r>
      <w:r w:rsidR="000F380B">
        <w:rPr>
          <w:rFonts w:cs="Arial"/>
          <w:szCs w:val="22"/>
        </w:rPr>
        <w:t xml:space="preserve"> May 2018. T</w:t>
      </w:r>
      <w:r w:rsidR="00AA2B62">
        <w:rPr>
          <w:rFonts w:cs="Arial"/>
          <w:szCs w:val="22"/>
        </w:rPr>
        <w:t>here were 9</w:t>
      </w:r>
      <w:r w:rsidR="002A4F7E" w:rsidRPr="00B55755">
        <w:rPr>
          <w:rFonts w:cs="Arial"/>
          <w:szCs w:val="22"/>
        </w:rPr>
        <w:t xml:space="preserve"> </w:t>
      </w:r>
      <w:r w:rsidR="00BC63A8" w:rsidRPr="00B55755">
        <w:rPr>
          <w:rFonts w:cs="Arial"/>
          <w:szCs w:val="22"/>
        </w:rPr>
        <w:t>responses,</w:t>
      </w:r>
      <w:r w:rsidR="00AA2B62">
        <w:rPr>
          <w:rFonts w:cs="Arial"/>
          <w:szCs w:val="22"/>
        </w:rPr>
        <w:t xml:space="preserve"> 8</w:t>
      </w:r>
      <w:r w:rsidR="002A4F7E" w:rsidRPr="00B55755">
        <w:rPr>
          <w:rFonts w:cs="Arial"/>
          <w:szCs w:val="22"/>
        </w:rPr>
        <w:t xml:space="preserve"> of the consultees were in support of t</w:t>
      </w:r>
      <w:r w:rsidR="000F380B">
        <w:rPr>
          <w:rFonts w:cs="Arial"/>
          <w:szCs w:val="22"/>
        </w:rPr>
        <w:t>he changes and 1 was against. A</w:t>
      </w:r>
      <w:r w:rsidR="002A4F7E" w:rsidRPr="00B55755">
        <w:rPr>
          <w:rFonts w:cs="Arial"/>
          <w:szCs w:val="22"/>
        </w:rPr>
        <w:t xml:space="preserve"> full copy of the </w:t>
      </w:r>
      <w:r w:rsidR="00BC63A8" w:rsidRPr="00B55755">
        <w:rPr>
          <w:rFonts w:cs="Arial"/>
          <w:szCs w:val="22"/>
        </w:rPr>
        <w:t xml:space="preserve">comments received are attached to the report as Appendices. </w:t>
      </w:r>
    </w:p>
    <w:p w:rsidR="00BC63A8" w:rsidRPr="00B55755" w:rsidRDefault="00BC63A8" w:rsidP="00F4022F">
      <w:pPr>
        <w:rPr>
          <w:rFonts w:cs="Arial"/>
          <w:szCs w:val="22"/>
        </w:rPr>
      </w:pPr>
    </w:p>
    <w:p w:rsidR="00BC63A8" w:rsidRPr="00B55755" w:rsidRDefault="00B70361" w:rsidP="00F4022F">
      <w:pPr>
        <w:rPr>
          <w:rFonts w:cs="Arial"/>
          <w:szCs w:val="22"/>
        </w:rPr>
      </w:pPr>
      <w:r>
        <w:rPr>
          <w:rFonts w:cs="Arial"/>
          <w:szCs w:val="22"/>
        </w:rPr>
        <w:t xml:space="preserve">5.2 </w:t>
      </w:r>
      <w:r w:rsidR="00BC63A8" w:rsidRPr="00503A1F">
        <w:rPr>
          <w:rFonts w:cs="Arial"/>
          <w:b/>
          <w:szCs w:val="22"/>
        </w:rPr>
        <w:t xml:space="preserve">Summary of </w:t>
      </w:r>
      <w:r w:rsidR="000F380B" w:rsidRPr="00503A1F">
        <w:rPr>
          <w:rFonts w:cs="Arial"/>
          <w:b/>
          <w:szCs w:val="22"/>
        </w:rPr>
        <w:t>comments</w:t>
      </w:r>
      <w:r w:rsidR="000F380B">
        <w:rPr>
          <w:rFonts w:cs="Arial"/>
          <w:szCs w:val="22"/>
        </w:rPr>
        <w:t>:</w:t>
      </w:r>
    </w:p>
    <w:p w:rsidR="00B55755" w:rsidRPr="00B55755" w:rsidRDefault="00B55755" w:rsidP="00F4022F">
      <w:pPr>
        <w:rPr>
          <w:rFonts w:cs="Arial"/>
          <w:szCs w:val="22"/>
        </w:rPr>
      </w:pPr>
    </w:p>
    <w:p w:rsidR="00B55755" w:rsidRPr="00B55755" w:rsidRDefault="00AA2B62" w:rsidP="00F4022F">
      <w:pPr>
        <w:rPr>
          <w:rFonts w:cs="Arial"/>
          <w:szCs w:val="22"/>
        </w:rPr>
      </w:pPr>
      <w:r>
        <w:rPr>
          <w:rFonts w:cs="Arial"/>
          <w:szCs w:val="22"/>
        </w:rPr>
        <w:t>Of the 8</w:t>
      </w:r>
      <w:r w:rsidR="00B55755" w:rsidRPr="00B55755">
        <w:rPr>
          <w:rFonts w:cs="Arial"/>
          <w:szCs w:val="22"/>
        </w:rPr>
        <w:t xml:space="preserve"> responses in agreement of the change to the policy, the following comments were made:</w:t>
      </w:r>
    </w:p>
    <w:p w:rsidR="00B55755" w:rsidRPr="00B55755" w:rsidRDefault="00B55755" w:rsidP="00F4022F">
      <w:pPr>
        <w:rPr>
          <w:rFonts w:cs="Arial"/>
          <w:szCs w:val="22"/>
        </w:rPr>
      </w:pPr>
    </w:p>
    <w:p w:rsidR="00B55755" w:rsidRDefault="00B55755" w:rsidP="00F4022F">
      <w:pPr>
        <w:rPr>
          <w:rFonts w:cs="Arial"/>
          <w:szCs w:val="22"/>
        </w:rPr>
      </w:pPr>
      <w:r w:rsidRPr="00B55755">
        <w:rPr>
          <w:rFonts w:cs="Arial"/>
          <w:szCs w:val="22"/>
        </w:rPr>
        <w:t>“I am Totally in Agreement, Not only would it give us a better Per vehicle Value on a levy such as Preston were you can license almost any vehicle, but it may also make the problem of owners/operators registering out of Borough in order to use older vehicles in our Borough”</w:t>
      </w:r>
    </w:p>
    <w:p w:rsidR="000F380B" w:rsidRPr="00B55755" w:rsidRDefault="000F380B" w:rsidP="00F4022F">
      <w:pPr>
        <w:rPr>
          <w:rFonts w:cs="Arial"/>
          <w:szCs w:val="22"/>
        </w:rPr>
      </w:pPr>
    </w:p>
    <w:p w:rsidR="00B55755" w:rsidRPr="00B55755" w:rsidRDefault="00B55755" w:rsidP="00F4022F">
      <w:pPr>
        <w:rPr>
          <w:rFonts w:cs="Arial"/>
          <w:color w:val="000000"/>
          <w:szCs w:val="22"/>
        </w:rPr>
      </w:pPr>
      <w:r w:rsidRPr="00B55755">
        <w:rPr>
          <w:rFonts w:cs="Arial"/>
          <w:color w:val="000000"/>
          <w:szCs w:val="22"/>
        </w:rPr>
        <w:t>“Is a welcome step towards being seen to helping drivers with affordable costs”</w:t>
      </w:r>
    </w:p>
    <w:p w:rsidR="00B55755" w:rsidRPr="00B55755" w:rsidRDefault="00B55755" w:rsidP="00F4022F">
      <w:pPr>
        <w:rPr>
          <w:rFonts w:cs="Arial"/>
          <w:color w:val="000000"/>
          <w:szCs w:val="22"/>
        </w:rPr>
      </w:pPr>
    </w:p>
    <w:p w:rsidR="00B55755" w:rsidRPr="00B55755" w:rsidRDefault="00B55755" w:rsidP="00F4022F">
      <w:pPr>
        <w:rPr>
          <w:rFonts w:cs="Arial"/>
          <w:color w:val="000000"/>
          <w:szCs w:val="22"/>
        </w:rPr>
      </w:pPr>
      <w:r w:rsidRPr="00B55755">
        <w:rPr>
          <w:rFonts w:cs="Arial"/>
          <w:color w:val="000000"/>
          <w:szCs w:val="22"/>
        </w:rPr>
        <w:t>“I welcome the change and hopefully it will allow drivers to actually make a living”</w:t>
      </w:r>
    </w:p>
    <w:p w:rsidR="00B55755" w:rsidRPr="00B55755" w:rsidRDefault="00B55755" w:rsidP="00F4022F">
      <w:pPr>
        <w:rPr>
          <w:rFonts w:cs="Arial"/>
          <w:color w:val="000000"/>
          <w:szCs w:val="22"/>
        </w:rPr>
      </w:pPr>
    </w:p>
    <w:p w:rsidR="00B55755" w:rsidRPr="00B55755" w:rsidRDefault="00B55755" w:rsidP="00F4022F">
      <w:pPr>
        <w:rPr>
          <w:rFonts w:cs="Arial"/>
          <w:color w:val="000000"/>
          <w:szCs w:val="22"/>
        </w:rPr>
      </w:pPr>
      <w:r w:rsidRPr="00B55755">
        <w:rPr>
          <w:rFonts w:cs="Arial"/>
          <w:szCs w:val="22"/>
        </w:rPr>
        <w:t>“I think that would be an excellent idea to introduce a new age limit”</w:t>
      </w:r>
    </w:p>
    <w:p w:rsidR="00B55755" w:rsidRPr="00B55755" w:rsidRDefault="00B55755" w:rsidP="00F4022F">
      <w:pPr>
        <w:rPr>
          <w:rFonts w:cs="Arial"/>
          <w:color w:val="000000"/>
          <w:szCs w:val="22"/>
        </w:rPr>
      </w:pPr>
    </w:p>
    <w:p w:rsidR="00B55755" w:rsidRPr="00B55755" w:rsidRDefault="00B55755" w:rsidP="00F4022F">
      <w:pPr>
        <w:rPr>
          <w:rFonts w:cs="Arial"/>
          <w:szCs w:val="22"/>
        </w:rPr>
      </w:pPr>
      <w:r w:rsidRPr="00B55755">
        <w:rPr>
          <w:rFonts w:cs="Arial"/>
          <w:szCs w:val="22"/>
        </w:rPr>
        <w:t xml:space="preserve">“I am in favour of the proposal. I hope my view will be taken into consideration in any future discussions”. </w:t>
      </w:r>
    </w:p>
    <w:p w:rsidR="00B55755" w:rsidRPr="00B55755" w:rsidRDefault="00B55755" w:rsidP="00F4022F">
      <w:pPr>
        <w:rPr>
          <w:rFonts w:cs="Arial"/>
          <w:szCs w:val="22"/>
        </w:rPr>
      </w:pPr>
    </w:p>
    <w:p w:rsidR="00B55755" w:rsidRPr="00B55755" w:rsidRDefault="00B70361" w:rsidP="00F4022F">
      <w:pPr>
        <w:rPr>
          <w:rFonts w:cs="Arial"/>
          <w:szCs w:val="22"/>
        </w:rPr>
      </w:pPr>
      <w:r>
        <w:rPr>
          <w:rFonts w:cs="Arial"/>
          <w:szCs w:val="22"/>
        </w:rPr>
        <w:t xml:space="preserve">5.3 </w:t>
      </w:r>
      <w:r w:rsidR="000F380B">
        <w:rPr>
          <w:rFonts w:cs="Arial"/>
          <w:szCs w:val="22"/>
        </w:rPr>
        <w:t>O</w:t>
      </w:r>
      <w:r w:rsidR="00B55755" w:rsidRPr="00B55755">
        <w:rPr>
          <w:rFonts w:cs="Arial"/>
          <w:szCs w:val="22"/>
        </w:rPr>
        <w:t xml:space="preserve">ne objection to the consultation was received with </w:t>
      </w:r>
      <w:r w:rsidR="004D59F2">
        <w:rPr>
          <w:rFonts w:cs="Arial"/>
          <w:szCs w:val="22"/>
        </w:rPr>
        <w:t xml:space="preserve">the following </w:t>
      </w:r>
      <w:r w:rsidR="0069370C">
        <w:rPr>
          <w:rFonts w:cs="Arial"/>
          <w:szCs w:val="22"/>
        </w:rPr>
        <w:t>comments made:</w:t>
      </w:r>
    </w:p>
    <w:p w:rsidR="00B55755" w:rsidRPr="00B55755" w:rsidRDefault="00B55755" w:rsidP="00F4022F">
      <w:pPr>
        <w:rPr>
          <w:rFonts w:cs="Arial"/>
          <w:szCs w:val="22"/>
        </w:rPr>
      </w:pPr>
    </w:p>
    <w:p w:rsidR="00B55755" w:rsidRPr="00B55755" w:rsidRDefault="00B55755" w:rsidP="00B55755">
      <w:pPr>
        <w:rPr>
          <w:rFonts w:cs="Arial"/>
          <w:bCs/>
          <w:szCs w:val="22"/>
          <w:lang w:val="en-US"/>
        </w:rPr>
      </w:pPr>
      <w:r w:rsidRPr="00B55755">
        <w:rPr>
          <w:rFonts w:cs="Arial"/>
          <w:bCs/>
          <w:szCs w:val="22"/>
          <w:lang w:val="en-US"/>
        </w:rPr>
        <w:t>“</w:t>
      </w:r>
      <w:r>
        <w:rPr>
          <w:rFonts w:cs="Arial"/>
          <w:bCs/>
          <w:szCs w:val="22"/>
          <w:lang w:val="en-US"/>
        </w:rPr>
        <w:t>The taxi fleets of South R</w:t>
      </w:r>
      <w:r w:rsidRPr="00B55755">
        <w:rPr>
          <w:rFonts w:cs="Arial"/>
          <w:bCs/>
          <w:szCs w:val="22"/>
          <w:lang w:val="en-US"/>
        </w:rPr>
        <w:t>ibble should be something to be proud of, it is modern and perceived by customers as a positive and gives operators an advantage over competition from taxi fleets from other areas who operate a less forward thinking age limit policy.”</w:t>
      </w:r>
    </w:p>
    <w:p w:rsidR="00B55755" w:rsidRPr="00B55755" w:rsidRDefault="00B55755" w:rsidP="00B55755">
      <w:pPr>
        <w:rPr>
          <w:rFonts w:cs="Arial"/>
          <w:bCs/>
          <w:szCs w:val="22"/>
          <w:lang w:val="en-US"/>
        </w:rPr>
      </w:pPr>
    </w:p>
    <w:p w:rsidR="00B55755" w:rsidRPr="00B55755" w:rsidRDefault="00B55755" w:rsidP="00B55755">
      <w:pPr>
        <w:rPr>
          <w:rFonts w:cs="Arial"/>
          <w:bCs/>
          <w:szCs w:val="22"/>
          <w:lang w:val="en-US"/>
        </w:rPr>
      </w:pPr>
      <w:r w:rsidRPr="00B55755">
        <w:rPr>
          <w:rFonts w:cs="Arial"/>
          <w:bCs/>
          <w:szCs w:val="22"/>
          <w:lang w:val="en-US"/>
        </w:rPr>
        <w:lastRenderedPageBreak/>
        <w:t>“Most modern vehicles have more airbags (more for the passengers)</w:t>
      </w:r>
      <w:r w:rsidRPr="00B55755">
        <w:rPr>
          <w:rFonts w:cs="Arial"/>
          <w:szCs w:val="22"/>
          <w:lang w:val="en-US"/>
        </w:rPr>
        <w:t xml:space="preserve">, </w:t>
      </w:r>
      <w:r w:rsidRPr="00B55755">
        <w:rPr>
          <w:rFonts w:cs="Arial"/>
          <w:bCs/>
          <w:szCs w:val="22"/>
          <w:lang w:val="en-US"/>
        </w:rPr>
        <w:t>Lane departure warning (an alarm sounds if the car strays out of lane without the use of an indicator)</w:t>
      </w:r>
      <w:r w:rsidRPr="00B55755">
        <w:rPr>
          <w:rFonts w:cs="Arial"/>
          <w:szCs w:val="22"/>
          <w:lang w:val="en-US"/>
        </w:rPr>
        <w:t xml:space="preserve">, </w:t>
      </w:r>
      <w:r w:rsidRPr="00B55755">
        <w:rPr>
          <w:rFonts w:cs="Arial"/>
          <w:bCs/>
          <w:szCs w:val="22"/>
          <w:lang w:val="en-US"/>
        </w:rPr>
        <w:t>Collision avoidance breaking (the car applies the brakes before the driver if an impending collision is detected)</w:t>
      </w:r>
      <w:r w:rsidRPr="00B55755">
        <w:rPr>
          <w:rFonts w:cs="Arial"/>
          <w:szCs w:val="22"/>
          <w:lang w:val="en-US"/>
        </w:rPr>
        <w:t xml:space="preserve">, </w:t>
      </w:r>
      <w:r w:rsidRPr="00B55755">
        <w:rPr>
          <w:rFonts w:cs="Arial"/>
          <w:bCs/>
          <w:szCs w:val="22"/>
          <w:lang w:val="en-US"/>
        </w:rPr>
        <w:t>Advances in pedestrian protection in the event of a car versus pedestrian accident.”</w:t>
      </w:r>
    </w:p>
    <w:p w:rsidR="00B55755" w:rsidRPr="00B55755" w:rsidRDefault="00B55755" w:rsidP="00B55755">
      <w:pPr>
        <w:rPr>
          <w:rFonts w:cs="Arial"/>
          <w:bCs/>
          <w:szCs w:val="22"/>
          <w:lang w:val="en-US"/>
        </w:rPr>
      </w:pPr>
    </w:p>
    <w:p w:rsidR="00B55755" w:rsidRPr="00B55755" w:rsidRDefault="00B55755" w:rsidP="00B55755">
      <w:pPr>
        <w:rPr>
          <w:rFonts w:cs="Arial"/>
          <w:szCs w:val="22"/>
          <w:lang w:val="en-US"/>
        </w:rPr>
      </w:pPr>
      <w:r w:rsidRPr="00B55755">
        <w:rPr>
          <w:rFonts w:cs="Arial"/>
          <w:bCs/>
          <w:szCs w:val="22"/>
          <w:lang w:val="en-US"/>
        </w:rPr>
        <w:t>“In summary, we are happy with the current age policy and cannot see any benefit in change, only negatives.”</w:t>
      </w:r>
    </w:p>
    <w:p w:rsidR="00B55755" w:rsidRDefault="00B55755" w:rsidP="00F4022F">
      <w:pPr>
        <w:rPr>
          <w:rFonts w:cs="Arial"/>
          <w:szCs w:val="22"/>
        </w:rPr>
      </w:pPr>
    </w:p>
    <w:p w:rsidR="00BC63A8" w:rsidRDefault="007428DA" w:rsidP="00F4022F">
      <w:pPr>
        <w:rPr>
          <w:rFonts w:cs="Arial"/>
          <w:b/>
          <w:szCs w:val="22"/>
        </w:rPr>
      </w:pPr>
      <w:r w:rsidRPr="007428DA">
        <w:rPr>
          <w:rFonts w:cs="Arial"/>
          <w:b/>
          <w:szCs w:val="22"/>
        </w:rPr>
        <w:t>6. AIR PO</w:t>
      </w:r>
      <w:r w:rsidR="00B70361">
        <w:rPr>
          <w:rFonts w:cs="Arial"/>
          <w:b/>
          <w:szCs w:val="22"/>
        </w:rPr>
        <w:t>LLUTION</w:t>
      </w:r>
      <w:r w:rsidRPr="007428DA">
        <w:rPr>
          <w:rFonts w:cs="Arial"/>
          <w:b/>
          <w:szCs w:val="22"/>
        </w:rPr>
        <w:t xml:space="preserve"> CONCERNS</w:t>
      </w:r>
    </w:p>
    <w:p w:rsidR="007428DA" w:rsidRDefault="007428DA" w:rsidP="00F4022F">
      <w:pPr>
        <w:rPr>
          <w:rFonts w:cs="Arial"/>
          <w:b/>
          <w:szCs w:val="22"/>
        </w:rPr>
      </w:pPr>
    </w:p>
    <w:p w:rsidR="007428DA" w:rsidRPr="007428DA" w:rsidRDefault="00B70361" w:rsidP="00F4022F">
      <w:pPr>
        <w:rPr>
          <w:rFonts w:cs="Arial"/>
          <w:szCs w:val="22"/>
        </w:rPr>
      </w:pPr>
      <w:r>
        <w:rPr>
          <w:rFonts w:cs="Arial"/>
          <w:szCs w:val="22"/>
        </w:rPr>
        <w:t>6.1</w:t>
      </w:r>
      <w:r w:rsidR="0069370C">
        <w:rPr>
          <w:rFonts w:cs="Arial"/>
          <w:szCs w:val="22"/>
        </w:rPr>
        <w:t xml:space="preserve"> </w:t>
      </w:r>
      <w:r w:rsidR="007428DA">
        <w:rPr>
          <w:rFonts w:cs="Arial"/>
          <w:szCs w:val="22"/>
        </w:rPr>
        <w:t>The</w:t>
      </w:r>
      <w:r>
        <w:rPr>
          <w:rFonts w:cs="Arial"/>
          <w:szCs w:val="22"/>
        </w:rPr>
        <w:t xml:space="preserve"> Council’s</w:t>
      </w:r>
      <w:r w:rsidR="007428DA">
        <w:rPr>
          <w:rFonts w:cs="Arial"/>
          <w:szCs w:val="22"/>
        </w:rPr>
        <w:t xml:space="preserve"> Environmental Health Department </w:t>
      </w:r>
      <w:r>
        <w:rPr>
          <w:rFonts w:cs="Arial"/>
          <w:szCs w:val="22"/>
        </w:rPr>
        <w:t xml:space="preserve">have </w:t>
      </w:r>
      <w:r w:rsidR="007428DA">
        <w:rPr>
          <w:rFonts w:cs="Arial"/>
          <w:szCs w:val="22"/>
        </w:rPr>
        <w:t xml:space="preserve">raised comments </w:t>
      </w:r>
      <w:r w:rsidR="0069370C">
        <w:rPr>
          <w:rFonts w:cs="Arial"/>
          <w:szCs w:val="22"/>
        </w:rPr>
        <w:t>about the proposed changes</w:t>
      </w:r>
      <w:r>
        <w:rPr>
          <w:rFonts w:cs="Arial"/>
          <w:szCs w:val="22"/>
        </w:rPr>
        <w:t>.</w:t>
      </w:r>
      <w:r w:rsidR="00705B9A">
        <w:rPr>
          <w:rFonts w:cs="Arial"/>
          <w:szCs w:val="22"/>
        </w:rPr>
        <w:t xml:space="preserve"> </w:t>
      </w:r>
      <w:r>
        <w:rPr>
          <w:rFonts w:cs="Arial"/>
          <w:szCs w:val="22"/>
        </w:rPr>
        <w:t>They state:</w:t>
      </w:r>
      <w:r w:rsidR="007428DA">
        <w:rPr>
          <w:rFonts w:cs="Arial"/>
          <w:szCs w:val="22"/>
        </w:rPr>
        <w:t xml:space="preserve"> </w:t>
      </w:r>
    </w:p>
    <w:p w:rsidR="007428DA" w:rsidRDefault="007428DA" w:rsidP="00F4022F">
      <w:pPr>
        <w:rPr>
          <w:rFonts w:cs="Arial"/>
          <w:b/>
          <w:szCs w:val="22"/>
        </w:rPr>
      </w:pPr>
    </w:p>
    <w:p w:rsidR="007428DA" w:rsidRPr="00705B9A" w:rsidRDefault="00B70361" w:rsidP="007428DA">
      <w:pPr>
        <w:rPr>
          <w:rFonts w:ascii="Calibri" w:hAnsi="Calibri"/>
          <w:i/>
        </w:rPr>
      </w:pPr>
      <w:r>
        <w:rPr>
          <w:i/>
        </w:rPr>
        <w:t>“</w:t>
      </w:r>
      <w:r w:rsidR="007428DA" w:rsidRPr="00705B9A">
        <w:rPr>
          <w:i/>
        </w:rPr>
        <w:t xml:space="preserve">The existing policy in relation to the age of taxis licensed by the authority was introduced with the aim of providing the taxi fleet licensed by the Council is reliable with better safety features and is more environmentally friendly. The relaxation of this policy allows for operators to extend the life of older more polluting and potential less safe vehicles. </w:t>
      </w:r>
      <w:r>
        <w:rPr>
          <w:i/>
        </w:rPr>
        <w:t>“</w:t>
      </w:r>
    </w:p>
    <w:p w:rsidR="007428DA" w:rsidRPr="00705B9A" w:rsidRDefault="007428DA" w:rsidP="007428DA">
      <w:pPr>
        <w:rPr>
          <w:i/>
        </w:rPr>
      </w:pPr>
    </w:p>
    <w:p w:rsidR="007428DA" w:rsidRPr="00705B9A" w:rsidRDefault="00B70361" w:rsidP="007428DA">
      <w:pPr>
        <w:rPr>
          <w:i/>
        </w:rPr>
      </w:pPr>
      <w:r>
        <w:rPr>
          <w:i/>
        </w:rPr>
        <w:t>“</w:t>
      </w:r>
      <w:r w:rsidR="007428DA" w:rsidRPr="00705B9A">
        <w:rPr>
          <w:i/>
        </w:rPr>
        <w:t>As part of the Council’s commitment to improving Air Quality, currently a key priority within the Corporate plan, an action has been progressed which ultimately supported the previous decision to restrict the age of the taxi fleet within South Ribble. This action has been presented to and agreed by DEFRA as a suitable policy to help reduce the harmful impact of poor air quality on the population of South Ribble.</w:t>
      </w:r>
      <w:r>
        <w:rPr>
          <w:i/>
        </w:rPr>
        <w:t>”</w:t>
      </w:r>
      <w:r w:rsidR="007428DA" w:rsidRPr="00705B9A">
        <w:rPr>
          <w:i/>
        </w:rPr>
        <w:t xml:space="preserve"> </w:t>
      </w:r>
    </w:p>
    <w:p w:rsidR="007428DA" w:rsidRPr="00705B9A" w:rsidRDefault="007428DA" w:rsidP="007428DA">
      <w:pPr>
        <w:rPr>
          <w:i/>
        </w:rPr>
      </w:pPr>
    </w:p>
    <w:p w:rsidR="007428DA" w:rsidRPr="00705B9A" w:rsidRDefault="00B70361" w:rsidP="007428DA">
      <w:pPr>
        <w:rPr>
          <w:i/>
        </w:rPr>
      </w:pPr>
      <w:r>
        <w:rPr>
          <w:i/>
        </w:rPr>
        <w:t>“</w:t>
      </w:r>
      <w:r w:rsidR="007428DA" w:rsidRPr="00705B9A">
        <w:rPr>
          <w:i/>
        </w:rPr>
        <w:t>Members will be aware that there are currently five declared Air Quality Management Areas within South Ribble all of which have been declared due to the likely exceedance of the Nitrogen Dioxide objective level. The princip</w:t>
      </w:r>
      <w:r>
        <w:rPr>
          <w:i/>
        </w:rPr>
        <w:t>al</w:t>
      </w:r>
      <w:r w:rsidR="007428DA" w:rsidRPr="00705B9A">
        <w:rPr>
          <w:i/>
        </w:rPr>
        <w:t xml:space="preserve"> source of which is vehicle emissions.  Currently it is recognised that 4.5% of all premature deaths in South Ribble are due to poor air quality.</w:t>
      </w:r>
      <w:r>
        <w:rPr>
          <w:i/>
        </w:rPr>
        <w:t>”</w:t>
      </w:r>
    </w:p>
    <w:p w:rsidR="007428DA" w:rsidRPr="00705B9A" w:rsidRDefault="007428DA" w:rsidP="007428DA">
      <w:pPr>
        <w:rPr>
          <w:i/>
        </w:rPr>
      </w:pPr>
    </w:p>
    <w:p w:rsidR="007428DA" w:rsidRPr="00705B9A" w:rsidRDefault="00B70361" w:rsidP="007428DA">
      <w:pPr>
        <w:rPr>
          <w:i/>
        </w:rPr>
      </w:pPr>
      <w:r>
        <w:rPr>
          <w:i/>
        </w:rPr>
        <w:t>“</w:t>
      </w:r>
      <w:r w:rsidR="007428DA" w:rsidRPr="00705B9A">
        <w:rPr>
          <w:i/>
        </w:rPr>
        <w:t>The taxi fleet makes up a significant portion of the fleet with individual vehicles potential driving around the borough and through the most polluted areas throughout the day and significantly more than the average car.</w:t>
      </w:r>
    </w:p>
    <w:p w:rsidR="007428DA" w:rsidRPr="00705B9A" w:rsidRDefault="007428DA" w:rsidP="007428DA">
      <w:pPr>
        <w:rPr>
          <w:i/>
        </w:rPr>
      </w:pPr>
    </w:p>
    <w:p w:rsidR="007428DA" w:rsidRPr="00705B9A" w:rsidRDefault="00B70361" w:rsidP="007428DA">
      <w:pPr>
        <w:rPr>
          <w:i/>
        </w:rPr>
      </w:pPr>
      <w:r>
        <w:rPr>
          <w:i/>
        </w:rPr>
        <w:t>“</w:t>
      </w:r>
      <w:r w:rsidR="007428DA" w:rsidRPr="00705B9A">
        <w:rPr>
          <w:i/>
        </w:rPr>
        <w:t>The council has a statutory duty to help improve the air quality within the borough the current policy on restricting the age of taxi’s helps towards this goal. If the trade are looking for equality and parity we suggest that the age policy should be brought down to lower limit i.e. any vehicle coming onto the fleet must be no more than 4 years old and must not remain on as a licensed vehicle past 8 years old.</w:t>
      </w:r>
      <w:r>
        <w:rPr>
          <w:i/>
        </w:rPr>
        <w:t>”</w:t>
      </w:r>
    </w:p>
    <w:p w:rsidR="007428DA" w:rsidRPr="00705B9A" w:rsidRDefault="007428DA" w:rsidP="007428DA">
      <w:pPr>
        <w:rPr>
          <w:i/>
        </w:rPr>
      </w:pPr>
    </w:p>
    <w:p w:rsidR="007428DA" w:rsidRDefault="00B70361" w:rsidP="007428DA">
      <w:pPr>
        <w:rPr>
          <w:i/>
        </w:rPr>
      </w:pPr>
      <w:r>
        <w:rPr>
          <w:i/>
        </w:rPr>
        <w:t>“</w:t>
      </w:r>
      <w:r w:rsidR="007428DA" w:rsidRPr="00705B9A">
        <w:rPr>
          <w:i/>
        </w:rPr>
        <w:t xml:space="preserve">It is the view of the air quality steering group involving cross party membership, Public Health Lancashire and other stakeholders that instead of relaxing the age policy the council should be considering tighten the requirements </w:t>
      </w:r>
      <w:r w:rsidR="007428DA" w:rsidRPr="00705B9A">
        <w:rPr>
          <w:i/>
        </w:rPr>
        <w:lastRenderedPageBreak/>
        <w:t>and offering additional incentives to reduce the emissions from this element of the fleet. To this end the Steering group recommends that the policy is not relaxed and will be bring forward additional measures in the future to encourage the use of alternative low emission vehicles as part of the fleet.</w:t>
      </w:r>
      <w:r>
        <w:rPr>
          <w:i/>
        </w:rPr>
        <w:t>”</w:t>
      </w:r>
    </w:p>
    <w:p w:rsidR="00E26F7B" w:rsidRDefault="00E26F7B" w:rsidP="007428DA">
      <w:pPr>
        <w:rPr>
          <w:i/>
        </w:rPr>
      </w:pPr>
    </w:p>
    <w:p w:rsidR="00E26F7B" w:rsidRPr="00705B9A" w:rsidRDefault="00E26F7B" w:rsidP="007428DA">
      <w:pPr>
        <w:rPr>
          <w:i/>
          <w:color w:val="1F497D"/>
        </w:rPr>
      </w:pPr>
      <w:r w:rsidRPr="00503A1F">
        <w:t>6.2</w:t>
      </w:r>
      <w:r>
        <w:rPr>
          <w:i/>
        </w:rPr>
        <w:t xml:space="preserve"> </w:t>
      </w:r>
      <w:r>
        <w:rPr>
          <w:rFonts w:cs="Arial"/>
          <w:szCs w:val="22"/>
        </w:rPr>
        <w:t>It is clear that Air Quality is a very important issue for this council and members clearly should have an opportunity to consider carefully the issues raised by Environmental Health. In this context members need to give serious consideration as to whether it would be b</w:t>
      </w:r>
      <w:r w:rsidR="00503A1F">
        <w:rPr>
          <w:rFonts w:cs="Arial"/>
          <w:szCs w:val="22"/>
        </w:rPr>
        <w:t>etter to follow the Environmental</w:t>
      </w:r>
      <w:r>
        <w:rPr>
          <w:rFonts w:cs="Arial"/>
          <w:szCs w:val="22"/>
        </w:rPr>
        <w:t xml:space="preserve"> Health advice as outlined</w:t>
      </w:r>
      <w:r w:rsidR="00503A1F">
        <w:rPr>
          <w:rFonts w:cs="Arial"/>
          <w:szCs w:val="22"/>
        </w:rPr>
        <w:t xml:space="preserve"> above</w:t>
      </w:r>
      <w:r>
        <w:rPr>
          <w:rFonts w:cs="Arial"/>
          <w:szCs w:val="22"/>
        </w:rPr>
        <w:t xml:space="preserve"> and tighten the</w:t>
      </w:r>
      <w:r w:rsidR="00503A1F">
        <w:rPr>
          <w:rFonts w:cs="Arial"/>
          <w:szCs w:val="22"/>
        </w:rPr>
        <w:t xml:space="preserve"> restrictions. </w:t>
      </w:r>
      <w:r>
        <w:rPr>
          <w:rFonts w:cs="Arial"/>
          <w:szCs w:val="22"/>
        </w:rPr>
        <w:t>If members are minded to reduce the age limit of the wheel ch</w:t>
      </w:r>
      <w:r w:rsidR="00503A1F">
        <w:rPr>
          <w:rFonts w:cs="Arial"/>
          <w:szCs w:val="22"/>
        </w:rPr>
        <w:t>air accessible vehicles</w:t>
      </w:r>
      <w:r>
        <w:rPr>
          <w:rFonts w:cs="Arial"/>
          <w:szCs w:val="22"/>
        </w:rPr>
        <w:t xml:space="preserve"> to 8 years</w:t>
      </w:r>
      <w:r w:rsidR="00503A1F">
        <w:rPr>
          <w:rFonts w:cs="Arial"/>
          <w:szCs w:val="22"/>
        </w:rPr>
        <w:t xml:space="preserve"> (and no more than 4 years on first registration) </w:t>
      </w:r>
      <w:r>
        <w:rPr>
          <w:rFonts w:cs="Arial"/>
          <w:szCs w:val="22"/>
        </w:rPr>
        <w:t>then a new consultation exercis</w:t>
      </w:r>
      <w:r w:rsidR="00503A1F">
        <w:rPr>
          <w:rFonts w:cs="Arial"/>
          <w:szCs w:val="22"/>
        </w:rPr>
        <w:t>e would need to be carried out. Clearly there would be financial implications for the trade if we do this.</w:t>
      </w:r>
      <w:r>
        <w:rPr>
          <w:rFonts w:cs="Arial"/>
          <w:szCs w:val="22"/>
        </w:rPr>
        <w:t xml:space="preserve"> </w:t>
      </w:r>
      <w:r w:rsidR="00503A1F">
        <w:rPr>
          <w:rFonts w:cs="Arial"/>
          <w:szCs w:val="22"/>
        </w:rPr>
        <w:t xml:space="preserve">On the other hand the introduction and implementation of such a policy would make a positive step towards improving air quality in the borough. </w:t>
      </w:r>
    </w:p>
    <w:p w:rsidR="007428DA" w:rsidRPr="00705B9A" w:rsidRDefault="007428DA" w:rsidP="00F4022F">
      <w:pPr>
        <w:rPr>
          <w:rFonts w:cs="Arial"/>
          <w:b/>
          <w:i/>
          <w:szCs w:val="22"/>
        </w:rPr>
      </w:pPr>
    </w:p>
    <w:p w:rsidR="001938D6" w:rsidRPr="00F4022F" w:rsidRDefault="001938D6" w:rsidP="00F4022F">
      <w:pPr>
        <w:rPr>
          <w:rFonts w:cs="Arial"/>
          <w:b/>
          <w:szCs w:val="22"/>
        </w:rPr>
      </w:pPr>
    </w:p>
    <w:p w:rsidR="00E51346" w:rsidRPr="00F4022F" w:rsidRDefault="00E51346" w:rsidP="00F4022F">
      <w:pPr>
        <w:rPr>
          <w:rFonts w:cs="Arial"/>
          <w:szCs w:val="22"/>
        </w:rPr>
      </w:pPr>
    </w:p>
    <w:p w:rsidR="00F43895" w:rsidRPr="00F4022F" w:rsidRDefault="007428DA" w:rsidP="00F4022F">
      <w:pPr>
        <w:rPr>
          <w:rFonts w:cs="Arial"/>
          <w:b/>
          <w:szCs w:val="22"/>
        </w:rPr>
      </w:pPr>
      <w:r>
        <w:rPr>
          <w:rFonts w:cs="Arial"/>
          <w:b/>
          <w:szCs w:val="22"/>
        </w:rPr>
        <w:t>7</w:t>
      </w:r>
      <w:r w:rsidR="00F43895" w:rsidRPr="00F4022F">
        <w:rPr>
          <w:rFonts w:cs="Arial"/>
          <w:b/>
          <w:szCs w:val="22"/>
        </w:rPr>
        <w:t xml:space="preserve">.    </w:t>
      </w:r>
      <w:r w:rsidR="00F43895" w:rsidRPr="00F4022F">
        <w:rPr>
          <w:rFonts w:cs="Arial"/>
          <w:b/>
          <w:caps/>
          <w:szCs w:val="22"/>
        </w:rPr>
        <w:t>Financial implications</w:t>
      </w:r>
    </w:p>
    <w:p w:rsidR="00F43895" w:rsidRPr="00F4022F" w:rsidRDefault="00F43895" w:rsidP="00F4022F">
      <w:pPr>
        <w:ind w:left="567"/>
        <w:rPr>
          <w:rFonts w:cs="Arial"/>
          <w:b/>
          <w:caps/>
          <w:szCs w:val="22"/>
        </w:rPr>
      </w:pPr>
    </w:p>
    <w:p w:rsidR="00F43895" w:rsidRPr="005C1F1E" w:rsidRDefault="005C1F1E" w:rsidP="005C1F1E">
      <w:pPr>
        <w:rPr>
          <w:rFonts w:cs="Arial"/>
          <w:caps/>
        </w:rPr>
      </w:pPr>
      <w:r w:rsidRPr="005C1F1E">
        <w:rPr>
          <w:rFonts w:cs="Arial"/>
        </w:rPr>
        <w:t>There are no</w:t>
      </w:r>
      <w:r>
        <w:rPr>
          <w:rFonts w:cs="Arial"/>
        </w:rPr>
        <w:t>ne.</w:t>
      </w:r>
    </w:p>
    <w:p w:rsidR="00F43895" w:rsidRPr="00F4022F" w:rsidRDefault="00F43895" w:rsidP="00F4022F">
      <w:pPr>
        <w:rPr>
          <w:rFonts w:cs="Arial"/>
          <w:b/>
          <w:szCs w:val="22"/>
        </w:rPr>
      </w:pPr>
    </w:p>
    <w:p w:rsidR="00F43895" w:rsidRPr="00F4022F" w:rsidRDefault="007428DA" w:rsidP="00F4022F">
      <w:pPr>
        <w:rPr>
          <w:rFonts w:cs="Arial"/>
          <w:caps/>
          <w:szCs w:val="22"/>
        </w:rPr>
      </w:pPr>
      <w:r>
        <w:rPr>
          <w:rFonts w:cs="Arial"/>
          <w:b/>
          <w:caps/>
          <w:szCs w:val="22"/>
        </w:rPr>
        <w:t>8</w:t>
      </w:r>
      <w:r w:rsidR="00F43895" w:rsidRPr="00F4022F">
        <w:rPr>
          <w:rFonts w:cs="Arial"/>
          <w:b/>
          <w:caps/>
          <w:szCs w:val="22"/>
        </w:rPr>
        <w:t>.    LEGAL IMPLICATIONS</w:t>
      </w:r>
    </w:p>
    <w:p w:rsidR="00F43895" w:rsidRPr="00F4022F" w:rsidRDefault="00F43895" w:rsidP="00F4022F">
      <w:pPr>
        <w:rPr>
          <w:rFonts w:cs="Arial"/>
          <w:caps/>
          <w:szCs w:val="22"/>
        </w:rPr>
      </w:pPr>
    </w:p>
    <w:p w:rsidR="00AC364B" w:rsidRPr="00AC364B" w:rsidRDefault="00503A1F" w:rsidP="00F4022F">
      <w:pPr>
        <w:rPr>
          <w:rFonts w:cs="Arial"/>
          <w:szCs w:val="22"/>
        </w:rPr>
      </w:pPr>
      <w:r>
        <w:rPr>
          <w:rFonts w:cs="Arial"/>
          <w:szCs w:val="22"/>
        </w:rPr>
        <w:t>Please see the comments of the Monitoring Officer</w:t>
      </w:r>
      <w:r w:rsidR="002858F4">
        <w:rPr>
          <w:rFonts w:cs="Arial"/>
          <w:szCs w:val="22"/>
        </w:rPr>
        <w:t xml:space="preserve"> </w:t>
      </w:r>
    </w:p>
    <w:p w:rsidR="00AC364B" w:rsidRDefault="00AC364B" w:rsidP="00F4022F">
      <w:pPr>
        <w:rPr>
          <w:rFonts w:cs="Arial"/>
          <w:sz w:val="24"/>
          <w:szCs w:val="24"/>
        </w:rPr>
      </w:pPr>
    </w:p>
    <w:p w:rsidR="00F43895" w:rsidRPr="00F4022F" w:rsidRDefault="007428DA" w:rsidP="00F4022F">
      <w:pPr>
        <w:rPr>
          <w:rFonts w:cs="Arial"/>
          <w:b/>
          <w:szCs w:val="22"/>
        </w:rPr>
      </w:pPr>
      <w:r>
        <w:rPr>
          <w:rFonts w:cs="Arial"/>
          <w:b/>
          <w:szCs w:val="22"/>
        </w:rPr>
        <w:t>9</w:t>
      </w:r>
      <w:r w:rsidR="00F43895" w:rsidRPr="00F4022F">
        <w:rPr>
          <w:rFonts w:cs="Arial"/>
          <w:b/>
          <w:szCs w:val="22"/>
        </w:rPr>
        <w:t>.  COMMENTS OF THE STATUTORY FINANCE OFFICER</w:t>
      </w:r>
    </w:p>
    <w:p w:rsidR="005C1F1E" w:rsidRDefault="005C1F1E" w:rsidP="005C1F1E">
      <w:pPr>
        <w:rPr>
          <w:rFonts w:cs="Arial"/>
        </w:rPr>
      </w:pPr>
    </w:p>
    <w:p w:rsidR="005C1F1E" w:rsidRPr="005C1F1E" w:rsidRDefault="005C1F1E" w:rsidP="005C1F1E">
      <w:pPr>
        <w:rPr>
          <w:rFonts w:cs="Arial"/>
          <w:caps/>
        </w:rPr>
      </w:pPr>
      <w:r w:rsidRPr="005C1F1E">
        <w:rPr>
          <w:rFonts w:cs="Arial"/>
        </w:rPr>
        <w:t>There are no financial implications arising as a result of the recommendations in this report.</w:t>
      </w:r>
    </w:p>
    <w:p w:rsidR="00BE2A3F" w:rsidRPr="00F4022F" w:rsidRDefault="00BE2A3F" w:rsidP="00F4022F">
      <w:pPr>
        <w:rPr>
          <w:rFonts w:cs="Arial"/>
          <w:b/>
          <w:szCs w:val="22"/>
        </w:rPr>
      </w:pPr>
    </w:p>
    <w:p w:rsidR="003F0035" w:rsidRPr="00F4022F" w:rsidRDefault="003F0035" w:rsidP="00F4022F">
      <w:pPr>
        <w:rPr>
          <w:rFonts w:cs="Arial"/>
          <w:b/>
          <w:i/>
          <w:szCs w:val="22"/>
        </w:rPr>
      </w:pPr>
    </w:p>
    <w:p w:rsidR="00F43895" w:rsidRPr="00F4022F" w:rsidRDefault="007428DA" w:rsidP="00F4022F">
      <w:pPr>
        <w:rPr>
          <w:rFonts w:cs="Arial"/>
          <w:b/>
          <w:szCs w:val="22"/>
        </w:rPr>
      </w:pPr>
      <w:r>
        <w:rPr>
          <w:rFonts w:cs="Arial"/>
          <w:b/>
          <w:szCs w:val="22"/>
        </w:rPr>
        <w:t>10</w:t>
      </w:r>
      <w:r w:rsidR="00BE2A3F" w:rsidRPr="00F4022F">
        <w:rPr>
          <w:rFonts w:cs="Arial"/>
          <w:b/>
          <w:szCs w:val="22"/>
        </w:rPr>
        <w:t xml:space="preserve">.  </w:t>
      </w:r>
      <w:r w:rsidR="00F43895" w:rsidRPr="00F4022F">
        <w:rPr>
          <w:rFonts w:cs="Arial"/>
          <w:b/>
          <w:szCs w:val="22"/>
        </w:rPr>
        <w:t>COMMENTS OF THE MONITORING OFFICER</w:t>
      </w:r>
    </w:p>
    <w:p w:rsidR="00AC364B" w:rsidRDefault="00AC364B" w:rsidP="00F4022F">
      <w:pPr>
        <w:rPr>
          <w:rFonts w:cs="Arial"/>
          <w:b/>
          <w:szCs w:val="22"/>
        </w:rPr>
      </w:pPr>
    </w:p>
    <w:p w:rsidR="006D748F" w:rsidRPr="00FD3654" w:rsidRDefault="00AC364B" w:rsidP="00AC364B">
      <w:pPr>
        <w:jc w:val="both"/>
        <w:rPr>
          <w:rFonts w:cs="Arial"/>
          <w:szCs w:val="22"/>
        </w:rPr>
      </w:pPr>
      <w:r w:rsidRPr="00FD3654">
        <w:rPr>
          <w:rFonts w:cs="Arial"/>
          <w:szCs w:val="22"/>
        </w:rPr>
        <w:t>Members should carefully consider the responses received through the consultation process, in line with t</w:t>
      </w:r>
      <w:r w:rsidR="00503A1F" w:rsidRPr="00FD3654">
        <w:rPr>
          <w:rFonts w:cs="Arial"/>
          <w:szCs w:val="22"/>
        </w:rPr>
        <w:t>heir duty to protect the public</w:t>
      </w:r>
      <w:r w:rsidRPr="00FD3654">
        <w:rPr>
          <w:rFonts w:cs="Arial"/>
          <w:szCs w:val="22"/>
        </w:rPr>
        <w:t>.</w:t>
      </w:r>
      <w:r w:rsidR="00E26F7B" w:rsidRPr="00FD3654">
        <w:rPr>
          <w:rFonts w:cs="Arial"/>
          <w:szCs w:val="22"/>
        </w:rPr>
        <w:t xml:space="preserve"> Great weight should also be given to t</w:t>
      </w:r>
      <w:r w:rsidR="00B70361" w:rsidRPr="00FD3654">
        <w:rPr>
          <w:rFonts w:cs="Arial"/>
          <w:szCs w:val="22"/>
        </w:rPr>
        <w:t>he concerns ra</w:t>
      </w:r>
      <w:r w:rsidR="00E26F7B" w:rsidRPr="00FD3654">
        <w:rPr>
          <w:rFonts w:cs="Arial"/>
          <w:szCs w:val="22"/>
        </w:rPr>
        <w:t>ised by Environmental Health</w:t>
      </w:r>
      <w:r w:rsidR="00B70361" w:rsidRPr="00FD3654">
        <w:rPr>
          <w:rFonts w:cs="Arial"/>
          <w:szCs w:val="22"/>
        </w:rPr>
        <w:t>.</w:t>
      </w:r>
      <w:r w:rsidR="00503A1F" w:rsidRPr="00FD3654">
        <w:rPr>
          <w:rFonts w:cs="Arial"/>
          <w:szCs w:val="22"/>
        </w:rPr>
        <w:t xml:space="preserve"> If members are minded to reduce the age limits for wheel chair accessible vehicles then a further consultation exercise would be required. If members are minded to </w:t>
      </w:r>
      <w:r w:rsidR="00FD3654" w:rsidRPr="00FD3654">
        <w:rPr>
          <w:rFonts w:cs="Arial"/>
          <w:szCs w:val="22"/>
        </w:rPr>
        <w:t>stick with the original proposal for change (that were consulted on) then a report would need to be taken to full council.</w:t>
      </w:r>
      <w:r w:rsidR="00FD3654">
        <w:rPr>
          <w:rFonts w:cs="Arial"/>
          <w:szCs w:val="22"/>
        </w:rPr>
        <w:t xml:space="preserve"> Whatever members decide there is always the risk of legal challenge – hence whatever conclusion they come to needs to be reasoned and evidence based.</w:t>
      </w:r>
    </w:p>
    <w:p w:rsidR="00745026" w:rsidRPr="00F4022F" w:rsidRDefault="00745026" w:rsidP="00F4022F">
      <w:pPr>
        <w:ind w:left="567" w:hanging="567"/>
        <w:rPr>
          <w:rFonts w:cs="Arial"/>
          <w:b/>
          <w:strike/>
          <w:szCs w:val="22"/>
        </w:rPr>
      </w:pPr>
    </w:p>
    <w:p w:rsidR="000B5251" w:rsidRPr="00F4022F" w:rsidRDefault="007428DA" w:rsidP="00F4022F">
      <w:pPr>
        <w:rPr>
          <w:rFonts w:cs="Arial"/>
          <w:b/>
          <w:szCs w:val="22"/>
        </w:rPr>
      </w:pPr>
      <w:r>
        <w:rPr>
          <w:rFonts w:cs="Arial"/>
          <w:b/>
          <w:szCs w:val="22"/>
        </w:rPr>
        <w:t>11</w:t>
      </w:r>
      <w:r w:rsidR="000C24D0" w:rsidRPr="00F4022F">
        <w:rPr>
          <w:rFonts w:cs="Arial"/>
          <w:b/>
          <w:szCs w:val="22"/>
        </w:rPr>
        <w:t xml:space="preserve">.  </w:t>
      </w:r>
      <w:r w:rsidR="000B5251" w:rsidRPr="00F4022F">
        <w:rPr>
          <w:rFonts w:cs="Arial"/>
          <w:b/>
          <w:szCs w:val="22"/>
        </w:rPr>
        <w:t xml:space="preserve">OTHER IMPLICATIONS: </w:t>
      </w:r>
    </w:p>
    <w:p w:rsidR="003C36EB" w:rsidRPr="00F4022F" w:rsidRDefault="003C36EB" w:rsidP="00F4022F">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F4022F" w:rsidTr="009C1143">
        <w:trPr>
          <w:trHeight w:val="334"/>
        </w:trPr>
        <w:tc>
          <w:tcPr>
            <w:tcW w:w="3544" w:type="dxa"/>
            <w:shd w:val="clear" w:color="auto" w:fill="auto"/>
          </w:tcPr>
          <w:p w:rsidR="002F5C5E" w:rsidRPr="00F4022F" w:rsidRDefault="002F5C5E" w:rsidP="00F4022F">
            <w:pPr>
              <w:rPr>
                <w:rFonts w:cs="Arial"/>
                <w:b/>
                <w:szCs w:val="22"/>
              </w:rPr>
            </w:pPr>
          </w:p>
          <w:p w:rsidR="00A56681" w:rsidRPr="00F4022F" w:rsidRDefault="00A56681" w:rsidP="00F4022F">
            <w:pPr>
              <w:numPr>
                <w:ilvl w:val="0"/>
                <w:numId w:val="11"/>
              </w:numPr>
              <w:ind w:left="360"/>
              <w:rPr>
                <w:rFonts w:cs="Arial"/>
                <w:b/>
                <w:szCs w:val="22"/>
              </w:rPr>
            </w:pPr>
            <w:r w:rsidRPr="00F4022F">
              <w:rPr>
                <w:rFonts w:cs="Arial"/>
                <w:b/>
                <w:szCs w:val="22"/>
              </w:rPr>
              <w:t xml:space="preserve">HR &amp; Organisational Development </w:t>
            </w:r>
          </w:p>
          <w:p w:rsidR="00A56681" w:rsidRPr="00F4022F" w:rsidRDefault="00A56681" w:rsidP="00F4022F">
            <w:pPr>
              <w:ind w:left="360"/>
              <w:rPr>
                <w:rFonts w:cs="Arial"/>
                <w:b/>
                <w:szCs w:val="22"/>
              </w:rPr>
            </w:pPr>
          </w:p>
          <w:p w:rsidR="00A56681" w:rsidRPr="00F4022F" w:rsidRDefault="00A56681" w:rsidP="00F4022F">
            <w:pPr>
              <w:numPr>
                <w:ilvl w:val="0"/>
                <w:numId w:val="11"/>
              </w:numPr>
              <w:ind w:left="360"/>
              <w:rPr>
                <w:rFonts w:cs="Arial"/>
                <w:b/>
                <w:szCs w:val="22"/>
              </w:rPr>
            </w:pPr>
            <w:r w:rsidRPr="00F4022F">
              <w:rPr>
                <w:rFonts w:cs="Arial"/>
                <w:b/>
                <w:szCs w:val="22"/>
              </w:rPr>
              <w:t>ICT / Technology</w:t>
            </w:r>
          </w:p>
          <w:p w:rsidR="002F5C5E" w:rsidRPr="00F4022F" w:rsidRDefault="002F5C5E" w:rsidP="00F4022F">
            <w:pPr>
              <w:ind w:left="360"/>
              <w:rPr>
                <w:rFonts w:cs="Arial"/>
                <w:b/>
                <w:szCs w:val="22"/>
              </w:rPr>
            </w:pPr>
          </w:p>
          <w:p w:rsidR="002F5C5E" w:rsidRPr="00F4022F" w:rsidRDefault="002F5C5E" w:rsidP="00F4022F">
            <w:pPr>
              <w:rPr>
                <w:rFonts w:cs="Arial"/>
                <w:b/>
                <w:szCs w:val="22"/>
              </w:rPr>
            </w:pPr>
          </w:p>
          <w:p w:rsidR="00A56681" w:rsidRPr="00F4022F" w:rsidRDefault="00A56681" w:rsidP="00F4022F">
            <w:pPr>
              <w:numPr>
                <w:ilvl w:val="0"/>
                <w:numId w:val="11"/>
              </w:numPr>
              <w:ind w:left="360"/>
              <w:rPr>
                <w:rFonts w:cs="Arial"/>
                <w:b/>
                <w:szCs w:val="22"/>
              </w:rPr>
            </w:pPr>
            <w:r w:rsidRPr="00F4022F">
              <w:rPr>
                <w:rFonts w:cs="Arial"/>
                <w:b/>
                <w:szCs w:val="22"/>
              </w:rPr>
              <w:t>Property &amp; Asset Management</w:t>
            </w:r>
          </w:p>
          <w:p w:rsidR="00A56681" w:rsidRPr="00F4022F" w:rsidRDefault="00A56681" w:rsidP="00F4022F">
            <w:pPr>
              <w:ind w:left="360"/>
              <w:rPr>
                <w:rFonts w:cs="Arial"/>
                <w:b/>
                <w:szCs w:val="22"/>
              </w:rPr>
            </w:pPr>
          </w:p>
          <w:p w:rsidR="002F5C5E" w:rsidRPr="00F4022F" w:rsidRDefault="00A56681" w:rsidP="00F4022F">
            <w:pPr>
              <w:numPr>
                <w:ilvl w:val="0"/>
                <w:numId w:val="11"/>
              </w:numPr>
              <w:ind w:left="360"/>
              <w:rPr>
                <w:rFonts w:cs="Arial"/>
                <w:b/>
                <w:szCs w:val="22"/>
              </w:rPr>
            </w:pPr>
            <w:r w:rsidRPr="00F4022F">
              <w:rPr>
                <w:rFonts w:cs="Arial"/>
                <w:b/>
                <w:szCs w:val="22"/>
              </w:rPr>
              <w:t xml:space="preserve">Risk </w:t>
            </w:r>
          </w:p>
          <w:p w:rsidR="006D748F" w:rsidRPr="00F4022F" w:rsidRDefault="006D748F" w:rsidP="00F4022F">
            <w:pPr>
              <w:pStyle w:val="ListParagraph"/>
              <w:spacing w:line="240" w:lineRule="auto"/>
              <w:rPr>
                <w:rFonts w:ascii="Arial" w:hAnsi="Arial" w:cs="Arial"/>
                <w:b/>
              </w:rPr>
            </w:pPr>
          </w:p>
          <w:p w:rsidR="006D748F" w:rsidRPr="00F4022F" w:rsidRDefault="006D748F" w:rsidP="00F4022F">
            <w:pPr>
              <w:ind w:left="360"/>
              <w:rPr>
                <w:rFonts w:cs="Arial"/>
                <w:b/>
                <w:szCs w:val="22"/>
              </w:rPr>
            </w:pPr>
          </w:p>
          <w:p w:rsidR="006D748F" w:rsidRPr="00F4022F" w:rsidRDefault="006D748F" w:rsidP="00F4022F">
            <w:pPr>
              <w:rPr>
                <w:rFonts w:cs="Arial"/>
                <w:b/>
                <w:szCs w:val="22"/>
              </w:rPr>
            </w:pPr>
          </w:p>
          <w:p w:rsidR="002F5C5E" w:rsidRPr="00F4022F" w:rsidRDefault="00A56681" w:rsidP="00F4022F">
            <w:pPr>
              <w:numPr>
                <w:ilvl w:val="0"/>
                <w:numId w:val="11"/>
              </w:numPr>
              <w:ind w:left="360"/>
              <w:rPr>
                <w:rFonts w:cs="Arial"/>
                <w:b/>
                <w:szCs w:val="22"/>
              </w:rPr>
            </w:pPr>
            <w:r w:rsidRPr="00F4022F">
              <w:rPr>
                <w:rFonts w:cs="Arial"/>
                <w:b/>
                <w:szCs w:val="22"/>
              </w:rPr>
              <w:t xml:space="preserve">Equality &amp; Diversity </w:t>
            </w:r>
          </w:p>
          <w:p w:rsidR="00A56681" w:rsidRPr="00F4022F" w:rsidRDefault="00A56681" w:rsidP="00F4022F">
            <w:pPr>
              <w:rPr>
                <w:rFonts w:cs="Arial"/>
                <w:b/>
                <w:szCs w:val="22"/>
              </w:rPr>
            </w:pPr>
          </w:p>
          <w:p w:rsidR="002F5C5E" w:rsidRPr="00F4022F" w:rsidRDefault="002F5C5E" w:rsidP="00F4022F">
            <w:pPr>
              <w:rPr>
                <w:rFonts w:cs="Arial"/>
                <w:szCs w:val="22"/>
              </w:rPr>
            </w:pPr>
          </w:p>
        </w:tc>
        <w:tc>
          <w:tcPr>
            <w:tcW w:w="6379" w:type="dxa"/>
            <w:shd w:val="clear" w:color="auto" w:fill="auto"/>
          </w:tcPr>
          <w:p w:rsidR="002F5C5E" w:rsidRPr="00F4022F" w:rsidRDefault="002F5C5E" w:rsidP="00F4022F">
            <w:pPr>
              <w:rPr>
                <w:rFonts w:cs="Arial"/>
                <w:szCs w:val="22"/>
              </w:rPr>
            </w:pPr>
          </w:p>
          <w:p w:rsidR="00F43895" w:rsidRPr="00F4022F" w:rsidRDefault="000C24D0" w:rsidP="00F4022F">
            <w:pPr>
              <w:rPr>
                <w:rFonts w:cs="Arial"/>
                <w:szCs w:val="22"/>
              </w:rPr>
            </w:pPr>
            <w:r w:rsidRPr="00F4022F">
              <w:rPr>
                <w:rFonts w:cs="Arial"/>
                <w:szCs w:val="22"/>
              </w:rPr>
              <w:t>None</w:t>
            </w:r>
          </w:p>
          <w:p w:rsidR="00F43895" w:rsidRPr="00F4022F" w:rsidRDefault="00F43895" w:rsidP="00F4022F">
            <w:pPr>
              <w:rPr>
                <w:rFonts w:cs="Arial"/>
                <w:szCs w:val="22"/>
              </w:rPr>
            </w:pPr>
          </w:p>
          <w:p w:rsidR="00A56681" w:rsidRPr="00F4022F" w:rsidRDefault="00A56681" w:rsidP="00F4022F">
            <w:pPr>
              <w:rPr>
                <w:rFonts w:cs="Arial"/>
                <w:szCs w:val="22"/>
              </w:rPr>
            </w:pPr>
          </w:p>
          <w:p w:rsidR="00F43895" w:rsidRPr="00F4022F" w:rsidRDefault="000C24D0" w:rsidP="00F4022F">
            <w:pPr>
              <w:rPr>
                <w:rFonts w:cs="Arial"/>
                <w:szCs w:val="22"/>
              </w:rPr>
            </w:pPr>
            <w:r w:rsidRPr="00F4022F">
              <w:rPr>
                <w:rFonts w:cs="Arial"/>
                <w:szCs w:val="22"/>
              </w:rPr>
              <w:t>Non</w:t>
            </w:r>
            <w:r w:rsidR="00F43895" w:rsidRPr="00F4022F">
              <w:rPr>
                <w:rFonts w:cs="Arial"/>
                <w:szCs w:val="22"/>
              </w:rPr>
              <w:t>e</w:t>
            </w:r>
          </w:p>
          <w:p w:rsidR="00F43895" w:rsidRPr="00F4022F" w:rsidRDefault="00F43895" w:rsidP="00F4022F">
            <w:pPr>
              <w:rPr>
                <w:rFonts w:cs="Arial"/>
                <w:szCs w:val="22"/>
              </w:rPr>
            </w:pPr>
          </w:p>
          <w:p w:rsidR="00A56681" w:rsidRPr="00F4022F" w:rsidRDefault="00A56681" w:rsidP="00F4022F">
            <w:pPr>
              <w:rPr>
                <w:rFonts w:cs="Arial"/>
                <w:szCs w:val="22"/>
              </w:rPr>
            </w:pPr>
          </w:p>
          <w:p w:rsidR="00F43895" w:rsidRPr="00F4022F" w:rsidRDefault="000C24D0" w:rsidP="00F4022F">
            <w:pPr>
              <w:rPr>
                <w:rFonts w:cs="Arial"/>
                <w:szCs w:val="22"/>
              </w:rPr>
            </w:pPr>
            <w:r w:rsidRPr="00F4022F">
              <w:rPr>
                <w:rFonts w:cs="Arial"/>
                <w:szCs w:val="22"/>
              </w:rPr>
              <w:t>None</w:t>
            </w:r>
          </w:p>
          <w:p w:rsidR="00F43895" w:rsidRPr="00F4022F" w:rsidRDefault="00F43895" w:rsidP="00F4022F">
            <w:pPr>
              <w:rPr>
                <w:rFonts w:cs="Arial"/>
                <w:szCs w:val="22"/>
              </w:rPr>
            </w:pPr>
          </w:p>
          <w:p w:rsidR="00A56681" w:rsidRPr="00F4022F" w:rsidRDefault="00A56681" w:rsidP="00F4022F">
            <w:pPr>
              <w:rPr>
                <w:rFonts w:cs="Arial"/>
                <w:szCs w:val="22"/>
              </w:rPr>
            </w:pPr>
          </w:p>
          <w:p w:rsidR="00F43895" w:rsidRDefault="000C24D0" w:rsidP="00F4022F">
            <w:pPr>
              <w:rPr>
                <w:rFonts w:cs="Arial"/>
                <w:szCs w:val="22"/>
              </w:rPr>
            </w:pPr>
            <w:r w:rsidRPr="00F4022F">
              <w:rPr>
                <w:rFonts w:cs="Arial"/>
                <w:szCs w:val="22"/>
              </w:rPr>
              <w:t>Non</w:t>
            </w:r>
            <w:r w:rsidR="00F43895" w:rsidRPr="00F4022F">
              <w:rPr>
                <w:rFonts w:cs="Arial"/>
                <w:szCs w:val="22"/>
              </w:rPr>
              <w:t>e</w:t>
            </w:r>
          </w:p>
          <w:p w:rsidR="00FD3654" w:rsidRDefault="00FD3654" w:rsidP="00F4022F">
            <w:pPr>
              <w:rPr>
                <w:rFonts w:cs="Arial"/>
                <w:szCs w:val="22"/>
              </w:rPr>
            </w:pPr>
          </w:p>
          <w:p w:rsidR="00FD3654" w:rsidRDefault="00FD3654" w:rsidP="00F4022F">
            <w:pPr>
              <w:rPr>
                <w:rFonts w:cs="Arial"/>
                <w:szCs w:val="22"/>
              </w:rPr>
            </w:pPr>
          </w:p>
          <w:p w:rsidR="00FD3654" w:rsidRDefault="00FD3654" w:rsidP="00F4022F">
            <w:pPr>
              <w:rPr>
                <w:rFonts w:cs="Arial"/>
                <w:szCs w:val="22"/>
              </w:rPr>
            </w:pPr>
          </w:p>
          <w:p w:rsidR="00FD3654" w:rsidRDefault="00FD3654" w:rsidP="00F4022F">
            <w:pPr>
              <w:rPr>
                <w:rFonts w:cs="Arial"/>
                <w:szCs w:val="22"/>
              </w:rPr>
            </w:pPr>
          </w:p>
          <w:p w:rsidR="00FD3654" w:rsidRDefault="00FD3654" w:rsidP="00F4022F">
            <w:pPr>
              <w:rPr>
                <w:rFonts w:cs="Arial"/>
                <w:szCs w:val="22"/>
              </w:rPr>
            </w:pPr>
            <w:r>
              <w:rPr>
                <w:rFonts w:cs="Arial"/>
                <w:szCs w:val="22"/>
              </w:rPr>
              <w:t>None</w:t>
            </w:r>
          </w:p>
          <w:p w:rsidR="00FD3654" w:rsidRPr="00F4022F" w:rsidRDefault="00FD3654" w:rsidP="00F4022F">
            <w:pPr>
              <w:rPr>
                <w:rFonts w:cs="Arial"/>
                <w:i/>
                <w:color w:val="2E74B5" w:themeColor="accent1" w:themeShade="BF"/>
                <w:szCs w:val="22"/>
              </w:rPr>
            </w:pPr>
          </w:p>
        </w:tc>
      </w:tr>
    </w:tbl>
    <w:p w:rsidR="000C24D0" w:rsidRDefault="000C24D0" w:rsidP="002F5C5E">
      <w:pPr>
        <w:rPr>
          <w:b/>
          <w:szCs w:val="22"/>
        </w:rPr>
      </w:pPr>
    </w:p>
    <w:p w:rsidR="000C24D0" w:rsidRDefault="000C24D0" w:rsidP="002F5C5E">
      <w:pPr>
        <w:rPr>
          <w:b/>
          <w:szCs w:val="22"/>
        </w:rPr>
      </w:pPr>
    </w:p>
    <w:p w:rsidR="002F5C5E" w:rsidRDefault="000B5251" w:rsidP="002F5C5E">
      <w:pPr>
        <w:rPr>
          <w:b/>
          <w:szCs w:val="22"/>
        </w:rPr>
      </w:pPr>
      <w:r>
        <w:rPr>
          <w:b/>
          <w:szCs w:val="22"/>
        </w:rPr>
        <w:t>1</w:t>
      </w:r>
      <w:r w:rsidR="007428DA">
        <w:rPr>
          <w:b/>
          <w:szCs w:val="22"/>
        </w:rPr>
        <w:t>2</w:t>
      </w:r>
      <w:r>
        <w:rPr>
          <w:b/>
          <w:szCs w:val="22"/>
        </w:rPr>
        <w:t xml:space="preserve">. BACKGROUND DOCUMENTS </w:t>
      </w:r>
    </w:p>
    <w:p w:rsidR="000B5251" w:rsidRPr="009C1143" w:rsidRDefault="000B5251" w:rsidP="002F5C5E">
      <w:pPr>
        <w:rPr>
          <w:szCs w:val="22"/>
        </w:rPr>
      </w:pPr>
    </w:p>
    <w:p w:rsidR="002F5C5E" w:rsidRPr="000C24D0" w:rsidRDefault="000C24D0" w:rsidP="000B5251">
      <w:pPr>
        <w:rPr>
          <w:szCs w:val="22"/>
        </w:rPr>
      </w:pPr>
      <w:r w:rsidRPr="000C24D0">
        <w:rPr>
          <w:szCs w:val="22"/>
        </w:rPr>
        <w:t>None</w:t>
      </w:r>
    </w:p>
    <w:p w:rsidR="000B5251" w:rsidRDefault="000B5251" w:rsidP="000B5251">
      <w:pPr>
        <w:rPr>
          <w:i/>
          <w:color w:val="0070C0"/>
          <w:szCs w:val="22"/>
        </w:rPr>
      </w:pPr>
    </w:p>
    <w:p w:rsidR="000C24D0" w:rsidRDefault="000C24D0" w:rsidP="000B5251">
      <w:pPr>
        <w:rPr>
          <w:i/>
          <w:color w:val="0070C0"/>
          <w:szCs w:val="22"/>
        </w:rPr>
      </w:pPr>
    </w:p>
    <w:p w:rsidR="000B5251" w:rsidRDefault="000B5251" w:rsidP="000B5251">
      <w:pPr>
        <w:rPr>
          <w:b/>
        </w:rPr>
      </w:pPr>
      <w:r w:rsidRPr="00792A2B">
        <w:rPr>
          <w:b/>
        </w:rPr>
        <w:t>1</w:t>
      </w:r>
      <w:r w:rsidR="007428DA">
        <w:rPr>
          <w:b/>
        </w:rPr>
        <w:t>3</w:t>
      </w:r>
      <w:r w:rsidRPr="00792A2B">
        <w:rPr>
          <w:b/>
        </w:rPr>
        <w:t xml:space="preserve">. APPENDICES </w:t>
      </w:r>
    </w:p>
    <w:p w:rsidR="000B5251" w:rsidRDefault="000B5251" w:rsidP="000B5251">
      <w:pPr>
        <w:rPr>
          <w:b/>
        </w:rPr>
      </w:pPr>
    </w:p>
    <w:p w:rsidR="001C5E49" w:rsidRDefault="009674A1" w:rsidP="001C5E49">
      <w:pPr>
        <w:tabs>
          <w:tab w:val="left" w:pos="2839"/>
        </w:tabs>
        <w:ind w:left="426" w:hanging="426"/>
        <w:rPr>
          <w:b/>
        </w:rPr>
      </w:pPr>
      <w:r>
        <w:rPr>
          <w:b/>
        </w:rPr>
        <w:t>N/A</w:t>
      </w:r>
    </w:p>
    <w:p w:rsidR="006D748F" w:rsidRPr="007F1945" w:rsidRDefault="006D748F"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rsidTr="001D28E4">
        <w:tc>
          <w:tcPr>
            <w:tcW w:w="5614" w:type="dxa"/>
            <w:shd w:val="clear" w:color="auto" w:fill="auto"/>
          </w:tcPr>
          <w:p w:rsidR="001C5E49" w:rsidRPr="0031059E" w:rsidRDefault="001C5E49" w:rsidP="00E2196F">
            <w:pPr>
              <w:rPr>
                <w:rFonts w:cs="Arial"/>
              </w:rPr>
            </w:pPr>
            <w:r w:rsidRPr="0031059E">
              <w:rPr>
                <w:rFonts w:cs="Arial"/>
              </w:rPr>
              <w:t>Report Author:</w:t>
            </w:r>
          </w:p>
        </w:tc>
        <w:tc>
          <w:tcPr>
            <w:tcW w:w="1555" w:type="dxa"/>
            <w:shd w:val="clear" w:color="auto" w:fill="auto"/>
          </w:tcPr>
          <w:p w:rsidR="001C5E49" w:rsidRPr="0031059E" w:rsidRDefault="001C5E49" w:rsidP="00E2196F">
            <w:pPr>
              <w:rPr>
                <w:rFonts w:cs="Arial"/>
              </w:rPr>
            </w:pPr>
            <w:r w:rsidRPr="0031059E">
              <w:rPr>
                <w:rFonts w:cs="Arial"/>
              </w:rPr>
              <w:t>Telephone:</w:t>
            </w:r>
          </w:p>
        </w:tc>
        <w:tc>
          <w:tcPr>
            <w:tcW w:w="2351" w:type="dxa"/>
            <w:shd w:val="clear" w:color="auto" w:fill="auto"/>
          </w:tcPr>
          <w:p w:rsidR="001C5E49" w:rsidRPr="0031059E" w:rsidRDefault="001C5E49" w:rsidP="00E2196F">
            <w:pPr>
              <w:rPr>
                <w:rFonts w:cs="Arial"/>
              </w:rPr>
            </w:pPr>
            <w:r w:rsidRPr="0031059E">
              <w:rPr>
                <w:rFonts w:cs="Arial"/>
              </w:rPr>
              <w:t>Date:</w:t>
            </w:r>
          </w:p>
        </w:tc>
      </w:tr>
      <w:tr w:rsidR="00C903AC" w:rsidTr="001D28E4">
        <w:tc>
          <w:tcPr>
            <w:tcW w:w="5614" w:type="dxa"/>
            <w:shd w:val="clear" w:color="auto" w:fill="auto"/>
          </w:tcPr>
          <w:p w:rsidR="00C903AC" w:rsidRDefault="00C903AC" w:rsidP="00C903AC">
            <w:pPr>
              <w:rPr>
                <w:rFonts w:cs="Arial"/>
                <w:i/>
                <w:color w:val="2E74B5" w:themeColor="accent1" w:themeShade="BF"/>
              </w:rPr>
            </w:pPr>
          </w:p>
          <w:p w:rsidR="00DD2D13" w:rsidRPr="00DD2D13" w:rsidRDefault="009674A1" w:rsidP="00C903AC">
            <w:pPr>
              <w:rPr>
                <w:rFonts w:cs="Arial"/>
              </w:rPr>
            </w:pPr>
            <w:r>
              <w:rPr>
                <w:rFonts w:cs="Arial"/>
              </w:rPr>
              <w:t>Mark Marshall</w:t>
            </w:r>
          </w:p>
          <w:p w:rsidR="00C903AC" w:rsidRPr="0031059E" w:rsidRDefault="00C903AC" w:rsidP="00C903AC">
            <w:pPr>
              <w:ind w:left="-539" w:firstLine="539"/>
              <w:rPr>
                <w:rFonts w:cs="Arial"/>
              </w:rPr>
            </w:pPr>
          </w:p>
        </w:tc>
        <w:tc>
          <w:tcPr>
            <w:tcW w:w="1555" w:type="dxa"/>
            <w:shd w:val="clear" w:color="auto" w:fill="auto"/>
          </w:tcPr>
          <w:p w:rsidR="00745026" w:rsidRDefault="00745026" w:rsidP="00C903AC">
            <w:pPr>
              <w:rPr>
                <w:rFonts w:cs="Arial"/>
              </w:rPr>
            </w:pPr>
          </w:p>
          <w:p w:rsidR="00C903AC" w:rsidRDefault="00DD2D13" w:rsidP="00C903AC">
            <w:pPr>
              <w:rPr>
                <w:rFonts w:cs="Arial"/>
              </w:rPr>
            </w:pPr>
            <w:r>
              <w:rPr>
                <w:rFonts w:cs="Arial"/>
              </w:rPr>
              <w:t>01772 625401</w:t>
            </w:r>
          </w:p>
          <w:p w:rsidR="00745026" w:rsidRPr="0031059E" w:rsidRDefault="00745026" w:rsidP="00C903AC">
            <w:pPr>
              <w:rPr>
                <w:rFonts w:cs="Arial"/>
              </w:rPr>
            </w:pPr>
          </w:p>
        </w:tc>
        <w:tc>
          <w:tcPr>
            <w:tcW w:w="2351" w:type="dxa"/>
            <w:shd w:val="clear" w:color="auto" w:fill="auto"/>
          </w:tcPr>
          <w:p w:rsidR="00745026" w:rsidRDefault="00745026" w:rsidP="00C903AC">
            <w:pPr>
              <w:rPr>
                <w:rFonts w:cs="Arial"/>
              </w:rPr>
            </w:pPr>
          </w:p>
          <w:p w:rsidR="00C903AC" w:rsidRPr="0031059E" w:rsidRDefault="00BC63A8" w:rsidP="00BC63A8">
            <w:pPr>
              <w:rPr>
                <w:rFonts w:cs="Arial"/>
              </w:rPr>
            </w:pPr>
            <w:r>
              <w:rPr>
                <w:rFonts w:cs="Arial"/>
              </w:rPr>
              <w:t>2</w:t>
            </w:r>
            <w:r w:rsidRPr="00BC63A8">
              <w:rPr>
                <w:rFonts w:cs="Arial"/>
                <w:vertAlign w:val="superscript"/>
              </w:rPr>
              <w:t>nd</w:t>
            </w:r>
            <w:r>
              <w:rPr>
                <w:rFonts w:cs="Arial"/>
              </w:rPr>
              <w:t xml:space="preserve"> July 2018</w:t>
            </w:r>
          </w:p>
        </w:tc>
      </w:tr>
    </w:tbl>
    <w:p w:rsidR="001C5E49" w:rsidRPr="009725FB" w:rsidRDefault="001C5E49" w:rsidP="00DD2D13">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53" w:rsidRDefault="00A11153">
      <w:r>
        <w:separator/>
      </w:r>
    </w:p>
  </w:endnote>
  <w:endnote w:type="continuationSeparator" w:id="0">
    <w:p w:rsidR="00A11153" w:rsidRDefault="00A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BF7311">
      <w:rPr>
        <w:noProof/>
        <w:sz w:val="24"/>
      </w:rPr>
      <w:t>1</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53" w:rsidRDefault="00A11153">
      <w:r>
        <w:separator/>
      </w:r>
    </w:p>
  </w:footnote>
  <w:footnote w:type="continuationSeparator" w:id="0">
    <w:p w:rsidR="00A11153" w:rsidRDefault="00A11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53B4BDB"/>
    <w:multiLevelType w:val="multilevel"/>
    <w:tmpl w:val="A5A89A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C14DF9"/>
    <w:multiLevelType w:val="hybridMultilevel"/>
    <w:tmpl w:val="42588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9450D"/>
    <w:multiLevelType w:val="hybridMultilevel"/>
    <w:tmpl w:val="A08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02C1C"/>
    <w:multiLevelType w:val="hybridMultilevel"/>
    <w:tmpl w:val="EF64909A"/>
    <w:lvl w:ilvl="0" w:tplc="71CE7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CF37D02"/>
    <w:multiLevelType w:val="multilevel"/>
    <w:tmpl w:val="2562A2FE"/>
    <w:lvl w:ilvl="0">
      <w:start w:val="5"/>
      <w:numFmt w:val="decimal"/>
      <w:lvlText w:val="%1"/>
      <w:lvlJc w:val="left"/>
      <w:pPr>
        <w:ind w:left="360" w:hanging="360"/>
      </w:pPr>
      <w:rPr>
        <w:rFonts w:ascii="Arial" w:hAnsi="Arial" w:hint="default"/>
        <w:color w:val="auto"/>
      </w:rPr>
    </w:lvl>
    <w:lvl w:ilvl="1">
      <w:start w:val="1"/>
      <w:numFmt w:val="decimal"/>
      <w:lvlText w:val="%1.%2"/>
      <w:lvlJc w:val="left"/>
      <w:pPr>
        <w:ind w:left="720" w:hanging="360"/>
      </w:pPr>
      <w:rPr>
        <w:rFonts w:ascii="Arial" w:hAnsi="Arial" w:hint="default"/>
        <w:color w:val="auto"/>
      </w:rPr>
    </w:lvl>
    <w:lvl w:ilvl="2">
      <w:start w:val="1"/>
      <w:numFmt w:val="decimal"/>
      <w:lvlText w:val="%1.%2.%3"/>
      <w:lvlJc w:val="left"/>
      <w:pPr>
        <w:ind w:left="1440" w:hanging="720"/>
      </w:pPr>
      <w:rPr>
        <w:rFonts w:ascii="Arial" w:hAnsi="Arial" w:hint="default"/>
        <w:color w:val="auto"/>
      </w:rPr>
    </w:lvl>
    <w:lvl w:ilvl="3">
      <w:start w:val="1"/>
      <w:numFmt w:val="decimal"/>
      <w:lvlText w:val="%1.%2.%3.%4"/>
      <w:lvlJc w:val="left"/>
      <w:pPr>
        <w:ind w:left="1800" w:hanging="720"/>
      </w:pPr>
      <w:rPr>
        <w:rFonts w:ascii="Arial" w:hAnsi="Arial" w:hint="default"/>
        <w:color w:val="auto"/>
      </w:rPr>
    </w:lvl>
    <w:lvl w:ilvl="4">
      <w:start w:val="1"/>
      <w:numFmt w:val="decimal"/>
      <w:lvlText w:val="%1.%2.%3.%4.%5"/>
      <w:lvlJc w:val="left"/>
      <w:pPr>
        <w:ind w:left="2520" w:hanging="1080"/>
      </w:pPr>
      <w:rPr>
        <w:rFonts w:ascii="Arial" w:hAnsi="Arial" w:hint="default"/>
        <w:color w:val="auto"/>
      </w:rPr>
    </w:lvl>
    <w:lvl w:ilvl="5">
      <w:start w:val="1"/>
      <w:numFmt w:val="decimal"/>
      <w:lvlText w:val="%1.%2.%3.%4.%5.%6"/>
      <w:lvlJc w:val="left"/>
      <w:pPr>
        <w:ind w:left="2880" w:hanging="1080"/>
      </w:pPr>
      <w:rPr>
        <w:rFonts w:ascii="Arial" w:hAnsi="Arial" w:hint="default"/>
        <w:color w:val="auto"/>
      </w:rPr>
    </w:lvl>
    <w:lvl w:ilvl="6">
      <w:start w:val="1"/>
      <w:numFmt w:val="decimal"/>
      <w:lvlText w:val="%1.%2.%3.%4.%5.%6.%7"/>
      <w:lvlJc w:val="left"/>
      <w:pPr>
        <w:ind w:left="3600" w:hanging="1440"/>
      </w:pPr>
      <w:rPr>
        <w:rFonts w:ascii="Arial" w:hAnsi="Arial" w:hint="default"/>
        <w:color w:val="auto"/>
      </w:rPr>
    </w:lvl>
    <w:lvl w:ilvl="7">
      <w:start w:val="1"/>
      <w:numFmt w:val="decimal"/>
      <w:lvlText w:val="%1.%2.%3.%4.%5.%6.%7.%8"/>
      <w:lvlJc w:val="left"/>
      <w:pPr>
        <w:ind w:left="3960" w:hanging="1440"/>
      </w:pPr>
      <w:rPr>
        <w:rFonts w:ascii="Arial" w:hAnsi="Arial" w:hint="default"/>
        <w:color w:val="auto"/>
      </w:rPr>
    </w:lvl>
    <w:lvl w:ilvl="8">
      <w:start w:val="1"/>
      <w:numFmt w:val="decimal"/>
      <w:lvlText w:val="%1.%2.%3.%4.%5.%6.%7.%8.%9"/>
      <w:lvlJc w:val="left"/>
      <w:pPr>
        <w:ind w:left="4320" w:hanging="1440"/>
      </w:pPr>
      <w:rPr>
        <w:rFonts w:ascii="Arial" w:hAnsi="Arial" w:hint="default"/>
        <w:color w:val="auto"/>
      </w:rPr>
    </w:lvl>
  </w:abstractNum>
  <w:abstractNum w:abstractNumId="7"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19C3F16"/>
    <w:multiLevelType w:val="hybridMultilevel"/>
    <w:tmpl w:val="61CAD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C271A"/>
    <w:multiLevelType w:val="hybridMultilevel"/>
    <w:tmpl w:val="B76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D396D"/>
    <w:multiLevelType w:val="hybridMultilevel"/>
    <w:tmpl w:val="7D20B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31453A"/>
    <w:multiLevelType w:val="multilevel"/>
    <w:tmpl w:val="8A821B7E"/>
    <w:lvl w:ilvl="0">
      <w:start w:val="1"/>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5B325EC"/>
    <w:multiLevelType w:val="multilevel"/>
    <w:tmpl w:val="240091A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8E4CA2"/>
    <w:multiLevelType w:val="multilevel"/>
    <w:tmpl w:val="32E8600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8" w15:restartNumberingAfterBreak="0">
    <w:nsid w:val="1AD478C1"/>
    <w:multiLevelType w:val="hybridMultilevel"/>
    <w:tmpl w:val="BB1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8963248"/>
    <w:multiLevelType w:val="hybridMultilevel"/>
    <w:tmpl w:val="E04C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4A7094"/>
    <w:multiLevelType w:val="hybridMultilevel"/>
    <w:tmpl w:val="7F289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CA435F"/>
    <w:multiLevelType w:val="multilevel"/>
    <w:tmpl w:val="AEEE6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A34BD0"/>
    <w:multiLevelType w:val="hybridMultilevel"/>
    <w:tmpl w:val="3BD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60002"/>
    <w:multiLevelType w:val="hybridMultilevel"/>
    <w:tmpl w:val="E85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350DA8"/>
    <w:multiLevelType w:val="multilevel"/>
    <w:tmpl w:val="C75CB29C"/>
    <w:lvl w:ilvl="0">
      <w:start w:val="4"/>
      <w:numFmt w:val="decimal"/>
      <w:lvlText w:val="%1"/>
      <w:lvlJc w:val="left"/>
      <w:pPr>
        <w:ind w:left="360" w:hanging="360"/>
      </w:pPr>
      <w:rPr>
        <w:rFonts w:hint="default"/>
      </w:rPr>
    </w:lvl>
    <w:lvl w:ilvl="1">
      <w:start w:val="1"/>
      <w:numFmt w:val="decimal"/>
      <w:lvlText w:val="%1.%2"/>
      <w:lvlJc w:val="left"/>
      <w:pPr>
        <w:ind w:left="501"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4A5D20"/>
    <w:multiLevelType w:val="hybridMultilevel"/>
    <w:tmpl w:val="B90E0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DA94329"/>
    <w:multiLevelType w:val="hybridMultilevel"/>
    <w:tmpl w:val="4D8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712AAF"/>
    <w:multiLevelType w:val="hybridMultilevel"/>
    <w:tmpl w:val="49A6CFAA"/>
    <w:lvl w:ilvl="0" w:tplc="8B50E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1843F1"/>
    <w:multiLevelType w:val="hybridMultilevel"/>
    <w:tmpl w:val="555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47085A"/>
    <w:multiLevelType w:val="hybridMultilevel"/>
    <w:tmpl w:val="3DD20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5E7F11"/>
    <w:multiLevelType w:val="multilevel"/>
    <w:tmpl w:val="0E541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4AB4727"/>
    <w:multiLevelType w:val="hybridMultilevel"/>
    <w:tmpl w:val="D5128D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657344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5E30E0F"/>
    <w:multiLevelType w:val="multilevel"/>
    <w:tmpl w:val="F3E684F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0" w15:restartNumberingAfterBreak="0">
    <w:nsid w:val="65FF3D60"/>
    <w:multiLevelType w:val="hybridMultilevel"/>
    <w:tmpl w:val="9BE2B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D95319"/>
    <w:multiLevelType w:val="multilevel"/>
    <w:tmpl w:val="65A045F4"/>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2"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3" w15:restartNumberingAfterBreak="0">
    <w:nsid w:val="6D1876AA"/>
    <w:multiLevelType w:val="hybridMultilevel"/>
    <w:tmpl w:val="652A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1F3A66"/>
    <w:multiLevelType w:val="multilevel"/>
    <w:tmpl w:val="1A9C38F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4DA2822"/>
    <w:multiLevelType w:val="hybridMultilevel"/>
    <w:tmpl w:val="AEAE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35"/>
  </w:num>
  <w:num w:numId="4">
    <w:abstractNumId w:val="19"/>
  </w:num>
  <w:num w:numId="5">
    <w:abstractNumId w:val="28"/>
  </w:num>
  <w:num w:numId="6">
    <w:abstractNumId w:val="15"/>
  </w:num>
  <w:num w:numId="7">
    <w:abstractNumId w:val="12"/>
  </w:num>
  <w:num w:numId="8">
    <w:abstractNumId w:val="13"/>
  </w:num>
  <w:num w:numId="9">
    <w:abstractNumId w:val="4"/>
  </w:num>
  <w:num w:numId="10">
    <w:abstractNumId w:val="7"/>
  </w:num>
  <w:num w:numId="11">
    <w:abstractNumId w:val="11"/>
  </w:num>
  <w:num w:numId="12">
    <w:abstractNumId w:val="23"/>
  </w:num>
  <w:num w:numId="13">
    <w:abstractNumId w:val="0"/>
  </w:num>
  <w:num w:numId="14">
    <w:abstractNumId w:val="42"/>
  </w:num>
  <w:num w:numId="15">
    <w:abstractNumId w:val="17"/>
  </w:num>
  <w:num w:numId="16">
    <w:abstractNumId w:val="16"/>
  </w:num>
  <w:num w:numId="17">
    <w:abstractNumId w:val="5"/>
  </w:num>
  <w:num w:numId="18">
    <w:abstractNumId w:val="25"/>
  </w:num>
  <w:num w:numId="19">
    <w:abstractNumId w:val="20"/>
  </w:num>
  <w:num w:numId="20">
    <w:abstractNumId w:val="18"/>
  </w:num>
  <w:num w:numId="21">
    <w:abstractNumId w:val="21"/>
  </w:num>
  <w:num w:numId="22">
    <w:abstractNumId w:val="3"/>
  </w:num>
  <w:num w:numId="23">
    <w:abstractNumId w:val="9"/>
  </w:num>
  <w:num w:numId="24">
    <w:abstractNumId w:val="34"/>
  </w:num>
  <w:num w:numId="25">
    <w:abstractNumId w:val="39"/>
  </w:num>
  <w:num w:numId="26">
    <w:abstractNumId w:val="14"/>
  </w:num>
  <w:num w:numId="27">
    <w:abstractNumId w:val="22"/>
  </w:num>
  <w:num w:numId="28">
    <w:abstractNumId w:val="36"/>
  </w:num>
  <w:num w:numId="29">
    <w:abstractNumId w:val="41"/>
  </w:num>
  <w:num w:numId="30">
    <w:abstractNumId w:val="44"/>
  </w:num>
  <w:num w:numId="31">
    <w:abstractNumId w:val="8"/>
  </w:num>
  <w:num w:numId="32">
    <w:abstractNumId w:val="33"/>
  </w:num>
  <w:num w:numId="33">
    <w:abstractNumId w:val="10"/>
  </w:num>
  <w:num w:numId="34">
    <w:abstractNumId w:val="40"/>
  </w:num>
  <w:num w:numId="35">
    <w:abstractNumId w:val="37"/>
  </w:num>
  <w:num w:numId="36">
    <w:abstractNumId w:val="43"/>
  </w:num>
  <w:num w:numId="37">
    <w:abstractNumId w:val="2"/>
  </w:num>
  <w:num w:numId="38">
    <w:abstractNumId w:val="29"/>
  </w:num>
  <w:num w:numId="39">
    <w:abstractNumId w:val="26"/>
  </w:num>
  <w:num w:numId="40">
    <w:abstractNumId w:val="45"/>
  </w:num>
  <w:num w:numId="41">
    <w:abstractNumId w:val="31"/>
  </w:num>
  <w:num w:numId="42">
    <w:abstractNumId w:val="30"/>
  </w:num>
  <w:num w:numId="43">
    <w:abstractNumId w:val="1"/>
  </w:num>
  <w:num w:numId="44">
    <w:abstractNumId w:val="27"/>
  </w:num>
  <w:num w:numId="45">
    <w:abstractNumId w:val="3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48AE"/>
    <w:rsid w:val="00016DD3"/>
    <w:rsid w:val="00025DED"/>
    <w:rsid w:val="000301CE"/>
    <w:rsid w:val="00067B79"/>
    <w:rsid w:val="000B5251"/>
    <w:rsid w:val="000B621E"/>
    <w:rsid w:val="000C24D0"/>
    <w:rsid w:val="000E10FE"/>
    <w:rsid w:val="000F2C8A"/>
    <w:rsid w:val="000F380B"/>
    <w:rsid w:val="00153993"/>
    <w:rsid w:val="001544DD"/>
    <w:rsid w:val="0016571F"/>
    <w:rsid w:val="00184E1D"/>
    <w:rsid w:val="001938D6"/>
    <w:rsid w:val="001B1D4F"/>
    <w:rsid w:val="001C5E49"/>
    <w:rsid w:val="001D28E4"/>
    <w:rsid w:val="002144D0"/>
    <w:rsid w:val="002221BD"/>
    <w:rsid w:val="00237E9D"/>
    <w:rsid w:val="0025591B"/>
    <w:rsid w:val="00262CC8"/>
    <w:rsid w:val="00265FDB"/>
    <w:rsid w:val="00274776"/>
    <w:rsid w:val="002820A5"/>
    <w:rsid w:val="002858F4"/>
    <w:rsid w:val="002A2F7A"/>
    <w:rsid w:val="002A4F7E"/>
    <w:rsid w:val="002D26A2"/>
    <w:rsid w:val="002D62DF"/>
    <w:rsid w:val="002E4FF4"/>
    <w:rsid w:val="002F5C5E"/>
    <w:rsid w:val="0031255C"/>
    <w:rsid w:val="003254B6"/>
    <w:rsid w:val="003400B6"/>
    <w:rsid w:val="00342AB1"/>
    <w:rsid w:val="00345C71"/>
    <w:rsid w:val="00345D48"/>
    <w:rsid w:val="00386AAD"/>
    <w:rsid w:val="00387302"/>
    <w:rsid w:val="003902A2"/>
    <w:rsid w:val="003A1B3F"/>
    <w:rsid w:val="003A23D3"/>
    <w:rsid w:val="003A2919"/>
    <w:rsid w:val="003B1E6D"/>
    <w:rsid w:val="003B6AAF"/>
    <w:rsid w:val="003C36EB"/>
    <w:rsid w:val="003E33E6"/>
    <w:rsid w:val="003E60AE"/>
    <w:rsid w:val="003F0035"/>
    <w:rsid w:val="003F5603"/>
    <w:rsid w:val="00405D4A"/>
    <w:rsid w:val="004218EA"/>
    <w:rsid w:val="0042456A"/>
    <w:rsid w:val="00442C46"/>
    <w:rsid w:val="00470041"/>
    <w:rsid w:val="00474DA8"/>
    <w:rsid w:val="0047741D"/>
    <w:rsid w:val="0048503A"/>
    <w:rsid w:val="004A45D4"/>
    <w:rsid w:val="004D59F2"/>
    <w:rsid w:val="004D7260"/>
    <w:rsid w:val="004F23B3"/>
    <w:rsid w:val="00503A1F"/>
    <w:rsid w:val="005041BB"/>
    <w:rsid w:val="00525728"/>
    <w:rsid w:val="0052590D"/>
    <w:rsid w:val="00533525"/>
    <w:rsid w:val="00533667"/>
    <w:rsid w:val="005368C1"/>
    <w:rsid w:val="00547120"/>
    <w:rsid w:val="00547481"/>
    <w:rsid w:val="005515D9"/>
    <w:rsid w:val="0056499A"/>
    <w:rsid w:val="0057197B"/>
    <w:rsid w:val="00576A82"/>
    <w:rsid w:val="005A26AD"/>
    <w:rsid w:val="005B0C36"/>
    <w:rsid w:val="005C12B9"/>
    <w:rsid w:val="005C1F1E"/>
    <w:rsid w:val="005D4F59"/>
    <w:rsid w:val="0060374B"/>
    <w:rsid w:val="006103EA"/>
    <w:rsid w:val="00630F86"/>
    <w:rsid w:val="00633396"/>
    <w:rsid w:val="00645A0B"/>
    <w:rsid w:val="006461E4"/>
    <w:rsid w:val="00654259"/>
    <w:rsid w:val="006555E6"/>
    <w:rsid w:val="006879CA"/>
    <w:rsid w:val="0069370C"/>
    <w:rsid w:val="006B645E"/>
    <w:rsid w:val="006B7116"/>
    <w:rsid w:val="006C04C1"/>
    <w:rsid w:val="006C209A"/>
    <w:rsid w:val="006D748F"/>
    <w:rsid w:val="006E09FB"/>
    <w:rsid w:val="006F2214"/>
    <w:rsid w:val="006F76A3"/>
    <w:rsid w:val="00705B9A"/>
    <w:rsid w:val="00707E99"/>
    <w:rsid w:val="00712E3F"/>
    <w:rsid w:val="00713633"/>
    <w:rsid w:val="007428DA"/>
    <w:rsid w:val="00745026"/>
    <w:rsid w:val="00772B9C"/>
    <w:rsid w:val="00777EF3"/>
    <w:rsid w:val="00790F8A"/>
    <w:rsid w:val="00792A2B"/>
    <w:rsid w:val="007B4D3D"/>
    <w:rsid w:val="007F35CE"/>
    <w:rsid w:val="00865BF3"/>
    <w:rsid w:val="00893AD2"/>
    <w:rsid w:val="008A2F6B"/>
    <w:rsid w:val="008A42E3"/>
    <w:rsid w:val="008A5EFE"/>
    <w:rsid w:val="008A77AB"/>
    <w:rsid w:val="008B41C5"/>
    <w:rsid w:val="008C3B1A"/>
    <w:rsid w:val="008D623F"/>
    <w:rsid w:val="008E5075"/>
    <w:rsid w:val="008F4B91"/>
    <w:rsid w:val="0090542C"/>
    <w:rsid w:val="009153B2"/>
    <w:rsid w:val="009350CB"/>
    <w:rsid w:val="00945281"/>
    <w:rsid w:val="00947D05"/>
    <w:rsid w:val="009538AE"/>
    <w:rsid w:val="009674A1"/>
    <w:rsid w:val="00980267"/>
    <w:rsid w:val="00983CD5"/>
    <w:rsid w:val="00992E79"/>
    <w:rsid w:val="009A714A"/>
    <w:rsid w:val="009C1143"/>
    <w:rsid w:val="009E48E0"/>
    <w:rsid w:val="009F03D1"/>
    <w:rsid w:val="00A007BB"/>
    <w:rsid w:val="00A00B4A"/>
    <w:rsid w:val="00A11153"/>
    <w:rsid w:val="00A1406A"/>
    <w:rsid w:val="00A17347"/>
    <w:rsid w:val="00A22D02"/>
    <w:rsid w:val="00A30426"/>
    <w:rsid w:val="00A33B5B"/>
    <w:rsid w:val="00A4702E"/>
    <w:rsid w:val="00A50754"/>
    <w:rsid w:val="00A512A3"/>
    <w:rsid w:val="00A55825"/>
    <w:rsid w:val="00A56681"/>
    <w:rsid w:val="00A76482"/>
    <w:rsid w:val="00A812CB"/>
    <w:rsid w:val="00AA2B62"/>
    <w:rsid w:val="00AB2853"/>
    <w:rsid w:val="00AC364B"/>
    <w:rsid w:val="00AC4A99"/>
    <w:rsid w:val="00B05FE8"/>
    <w:rsid w:val="00B1788B"/>
    <w:rsid w:val="00B443DD"/>
    <w:rsid w:val="00B51DB8"/>
    <w:rsid w:val="00B55755"/>
    <w:rsid w:val="00B62D79"/>
    <w:rsid w:val="00B70361"/>
    <w:rsid w:val="00B70B91"/>
    <w:rsid w:val="00B716F5"/>
    <w:rsid w:val="00B72A06"/>
    <w:rsid w:val="00B766C4"/>
    <w:rsid w:val="00B7675F"/>
    <w:rsid w:val="00B92298"/>
    <w:rsid w:val="00BA2606"/>
    <w:rsid w:val="00BC63A8"/>
    <w:rsid w:val="00BC6635"/>
    <w:rsid w:val="00BE2A3F"/>
    <w:rsid w:val="00BF1C22"/>
    <w:rsid w:val="00BF7311"/>
    <w:rsid w:val="00C022F9"/>
    <w:rsid w:val="00C209E3"/>
    <w:rsid w:val="00C30128"/>
    <w:rsid w:val="00C33FA8"/>
    <w:rsid w:val="00C36409"/>
    <w:rsid w:val="00C47B54"/>
    <w:rsid w:val="00C52450"/>
    <w:rsid w:val="00C62553"/>
    <w:rsid w:val="00C64ED1"/>
    <w:rsid w:val="00C66BAA"/>
    <w:rsid w:val="00C903AC"/>
    <w:rsid w:val="00CB32DF"/>
    <w:rsid w:val="00CB34AF"/>
    <w:rsid w:val="00CC3246"/>
    <w:rsid w:val="00CE3DA1"/>
    <w:rsid w:val="00CE4482"/>
    <w:rsid w:val="00CF6B60"/>
    <w:rsid w:val="00D03328"/>
    <w:rsid w:val="00D26E1E"/>
    <w:rsid w:val="00D36638"/>
    <w:rsid w:val="00D37BAE"/>
    <w:rsid w:val="00D772AB"/>
    <w:rsid w:val="00D90A00"/>
    <w:rsid w:val="00D91845"/>
    <w:rsid w:val="00D9371C"/>
    <w:rsid w:val="00DA1EF0"/>
    <w:rsid w:val="00DB3FD0"/>
    <w:rsid w:val="00DD2D13"/>
    <w:rsid w:val="00DE5E12"/>
    <w:rsid w:val="00DF3BF5"/>
    <w:rsid w:val="00E2196F"/>
    <w:rsid w:val="00E2276E"/>
    <w:rsid w:val="00E26F7B"/>
    <w:rsid w:val="00E41950"/>
    <w:rsid w:val="00E51346"/>
    <w:rsid w:val="00E569CB"/>
    <w:rsid w:val="00E577A2"/>
    <w:rsid w:val="00E60A53"/>
    <w:rsid w:val="00E63940"/>
    <w:rsid w:val="00E733A5"/>
    <w:rsid w:val="00E753EC"/>
    <w:rsid w:val="00E84459"/>
    <w:rsid w:val="00E971A2"/>
    <w:rsid w:val="00EB2D32"/>
    <w:rsid w:val="00EB7C94"/>
    <w:rsid w:val="00ED257A"/>
    <w:rsid w:val="00F040CF"/>
    <w:rsid w:val="00F3031D"/>
    <w:rsid w:val="00F3057A"/>
    <w:rsid w:val="00F30E9C"/>
    <w:rsid w:val="00F4022F"/>
    <w:rsid w:val="00F43895"/>
    <w:rsid w:val="00F55E4D"/>
    <w:rsid w:val="00F56E8A"/>
    <w:rsid w:val="00F61752"/>
    <w:rsid w:val="00F67F95"/>
    <w:rsid w:val="00F70563"/>
    <w:rsid w:val="00FC391E"/>
    <w:rsid w:val="00FD3654"/>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9EB2B9-E66F-49B9-801A-3AC55967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45"/>
      </w:numPr>
      <w:outlineLvl w:val="0"/>
    </w:pPr>
    <w:rPr>
      <w:b/>
    </w:rPr>
  </w:style>
  <w:style w:type="paragraph" w:styleId="Heading2">
    <w:name w:val="heading 2"/>
    <w:basedOn w:val="Normal"/>
    <w:next w:val="Normal"/>
    <w:link w:val="Heading2Char"/>
    <w:uiPriority w:val="9"/>
    <w:semiHidden/>
    <w:unhideWhenUsed/>
    <w:qFormat/>
    <w:rsid w:val="0052590D"/>
    <w:pPr>
      <w:keepNext/>
      <w:keepLines/>
      <w:numPr>
        <w:ilvl w:val="1"/>
        <w:numId w:val="4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590D"/>
    <w:pPr>
      <w:keepNext/>
      <w:keepLines/>
      <w:numPr>
        <w:ilvl w:val="2"/>
        <w:numId w:val="4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590D"/>
    <w:pPr>
      <w:keepNext/>
      <w:keepLines/>
      <w:numPr>
        <w:ilvl w:val="3"/>
        <w:numId w:val="4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590D"/>
    <w:pPr>
      <w:keepNext/>
      <w:keepLines/>
      <w:numPr>
        <w:ilvl w:val="4"/>
        <w:numId w:val="4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590D"/>
    <w:pPr>
      <w:keepNext/>
      <w:keepLines/>
      <w:numPr>
        <w:ilvl w:val="5"/>
        <w:numId w:val="4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590D"/>
    <w:pPr>
      <w:keepNext/>
      <w:keepLines/>
      <w:numPr>
        <w:ilvl w:val="6"/>
        <w:numId w:val="4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590D"/>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90D"/>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A00B4A"/>
    <w:rPr>
      <w:sz w:val="16"/>
      <w:szCs w:val="16"/>
    </w:rPr>
  </w:style>
  <w:style w:type="paragraph" w:styleId="CommentText">
    <w:name w:val="annotation text"/>
    <w:basedOn w:val="Normal"/>
    <w:link w:val="CommentTextChar"/>
    <w:uiPriority w:val="99"/>
    <w:semiHidden/>
    <w:unhideWhenUsed/>
    <w:rsid w:val="00A00B4A"/>
    <w:rPr>
      <w:sz w:val="20"/>
    </w:rPr>
  </w:style>
  <w:style w:type="character" w:customStyle="1" w:styleId="CommentTextChar">
    <w:name w:val="Comment Text Char"/>
    <w:basedOn w:val="DefaultParagraphFont"/>
    <w:link w:val="CommentText"/>
    <w:uiPriority w:val="99"/>
    <w:semiHidden/>
    <w:rsid w:val="00A00B4A"/>
    <w:rPr>
      <w:rFonts w:ascii="Arial" w:hAnsi="Arial"/>
    </w:rPr>
  </w:style>
  <w:style w:type="paragraph" w:styleId="CommentSubject">
    <w:name w:val="annotation subject"/>
    <w:basedOn w:val="CommentText"/>
    <w:next w:val="CommentText"/>
    <w:link w:val="CommentSubjectChar"/>
    <w:uiPriority w:val="99"/>
    <w:semiHidden/>
    <w:unhideWhenUsed/>
    <w:rsid w:val="00A00B4A"/>
    <w:rPr>
      <w:b/>
      <w:bCs/>
    </w:rPr>
  </w:style>
  <w:style w:type="character" w:customStyle="1" w:styleId="CommentSubjectChar">
    <w:name w:val="Comment Subject Char"/>
    <w:basedOn w:val="CommentTextChar"/>
    <w:link w:val="CommentSubject"/>
    <w:uiPriority w:val="99"/>
    <w:semiHidden/>
    <w:rsid w:val="00A00B4A"/>
    <w:rPr>
      <w:rFonts w:ascii="Arial" w:hAnsi="Arial"/>
      <w:b/>
      <w:bCs/>
    </w:rPr>
  </w:style>
  <w:style w:type="paragraph" w:customStyle="1" w:styleId="Default">
    <w:name w:val="Default"/>
    <w:rsid w:val="00A33B5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259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259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590D"/>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52590D"/>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52590D"/>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52590D"/>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525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590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648">
      <w:bodyDiv w:val="1"/>
      <w:marLeft w:val="0"/>
      <w:marRight w:val="0"/>
      <w:marTop w:val="0"/>
      <w:marBottom w:val="0"/>
      <w:divBdr>
        <w:top w:val="none" w:sz="0" w:space="0" w:color="auto"/>
        <w:left w:val="none" w:sz="0" w:space="0" w:color="auto"/>
        <w:bottom w:val="none" w:sz="0" w:space="0" w:color="auto"/>
        <w:right w:val="none" w:sz="0" w:space="0" w:color="auto"/>
      </w:divBdr>
    </w:div>
    <w:div w:id="65345825">
      <w:bodyDiv w:val="1"/>
      <w:marLeft w:val="0"/>
      <w:marRight w:val="0"/>
      <w:marTop w:val="0"/>
      <w:marBottom w:val="0"/>
      <w:divBdr>
        <w:top w:val="none" w:sz="0" w:space="0" w:color="auto"/>
        <w:left w:val="none" w:sz="0" w:space="0" w:color="auto"/>
        <w:bottom w:val="none" w:sz="0" w:space="0" w:color="auto"/>
        <w:right w:val="none" w:sz="0" w:space="0" w:color="auto"/>
      </w:divBdr>
    </w:div>
    <w:div w:id="33711977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1670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23C6-B51F-48E3-A304-EDFD0607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5</Pages>
  <Words>1555</Words>
  <Characters>8022</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2</cp:revision>
  <cp:lastPrinted>2018-03-14T15:24:00Z</cp:lastPrinted>
  <dcterms:created xsi:type="dcterms:W3CDTF">2018-09-03T12:46:00Z</dcterms:created>
  <dcterms:modified xsi:type="dcterms:W3CDTF">2018-09-03T12:46:00Z</dcterms:modified>
</cp:coreProperties>
</file>